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BC453" w14:textId="77777777" w:rsidR="00503B80" w:rsidRDefault="00503B80" w:rsidP="002D5DD2">
      <w:pPr>
        <w:pStyle w:val="NoSpacing"/>
        <w:jc w:val="center"/>
        <w:rPr>
          <w:rFonts w:ascii="Times New Roman" w:hAnsi="Times New Roman"/>
          <w:b/>
          <w:smallCaps/>
          <w:sz w:val="36"/>
          <w:szCs w:val="36"/>
        </w:rPr>
      </w:pPr>
    </w:p>
    <w:p w14:paraId="79C77991" w14:textId="77777777" w:rsidR="00503B80" w:rsidRDefault="00503B80" w:rsidP="002D5DD2">
      <w:pPr>
        <w:pStyle w:val="NoSpacing"/>
        <w:jc w:val="center"/>
        <w:rPr>
          <w:rFonts w:ascii="Times New Roman" w:hAnsi="Times New Roman"/>
          <w:b/>
          <w:smallCaps/>
          <w:sz w:val="36"/>
          <w:szCs w:val="36"/>
        </w:rPr>
      </w:pPr>
    </w:p>
    <w:p w14:paraId="748FB293" w14:textId="77777777" w:rsidR="00503B80" w:rsidRDefault="00503B80" w:rsidP="002D5DD2">
      <w:pPr>
        <w:pStyle w:val="NoSpacing"/>
        <w:jc w:val="center"/>
        <w:rPr>
          <w:rFonts w:ascii="Times New Roman" w:hAnsi="Times New Roman"/>
          <w:b/>
          <w:smallCaps/>
          <w:sz w:val="36"/>
          <w:szCs w:val="36"/>
        </w:rPr>
      </w:pPr>
    </w:p>
    <w:p w14:paraId="2E298676" w14:textId="77777777" w:rsidR="003C2066" w:rsidRDefault="003C2066" w:rsidP="002D5DD2">
      <w:pPr>
        <w:pStyle w:val="NoSpacing"/>
        <w:jc w:val="center"/>
        <w:rPr>
          <w:rFonts w:ascii="Times New Roman" w:hAnsi="Times New Roman"/>
          <w:b/>
          <w:smallCaps/>
          <w:sz w:val="36"/>
          <w:szCs w:val="36"/>
        </w:rPr>
      </w:pPr>
    </w:p>
    <w:p w14:paraId="45DB040E" w14:textId="7366D5AC" w:rsidR="002D5DD2" w:rsidRDefault="002D5DD2" w:rsidP="002D5DD2">
      <w:pPr>
        <w:pStyle w:val="NoSpacing"/>
        <w:jc w:val="center"/>
        <w:rPr>
          <w:rFonts w:ascii="Times New Roman" w:hAnsi="Times New Roman"/>
          <w:b/>
          <w:smallCaps/>
          <w:sz w:val="36"/>
          <w:szCs w:val="36"/>
        </w:rPr>
      </w:pPr>
      <w:r w:rsidRPr="00C5298A">
        <w:rPr>
          <w:rFonts w:ascii="Times New Roman" w:hAnsi="Times New Roman"/>
          <w:b/>
          <w:smallCaps/>
          <w:sz w:val="36"/>
          <w:szCs w:val="36"/>
        </w:rPr>
        <w:t xml:space="preserve">Senate </w:t>
      </w:r>
      <w:r>
        <w:rPr>
          <w:rFonts w:ascii="Times New Roman" w:hAnsi="Times New Roman"/>
          <w:b/>
          <w:smallCaps/>
          <w:sz w:val="36"/>
          <w:szCs w:val="36"/>
        </w:rPr>
        <w:t>Committee</w:t>
      </w:r>
      <w:r w:rsidR="001427C6">
        <w:rPr>
          <w:rFonts w:ascii="Times New Roman" w:hAnsi="Times New Roman"/>
          <w:b/>
          <w:smallCaps/>
          <w:sz w:val="36"/>
          <w:szCs w:val="36"/>
        </w:rPr>
        <w:t>s</w:t>
      </w:r>
      <w:r>
        <w:rPr>
          <w:rFonts w:ascii="Times New Roman" w:hAnsi="Times New Roman"/>
          <w:b/>
          <w:smallCaps/>
          <w:sz w:val="36"/>
          <w:szCs w:val="36"/>
        </w:rPr>
        <w:t xml:space="preserve"> on </w:t>
      </w:r>
      <w:r w:rsidRPr="00C5298A">
        <w:rPr>
          <w:rFonts w:ascii="Times New Roman" w:hAnsi="Times New Roman"/>
          <w:b/>
          <w:smallCaps/>
          <w:sz w:val="36"/>
          <w:szCs w:val="36"/>
        </w:rPr>
        <w:t xml:space="preserve">Governance &amp; Finance </w:t>
      </w:r>
      <w:r w:rsidR="001427C6">
        <w:rPr>
          <w:rFonts w:ascii="Times New Roman" w:hAnsi="Times New Roman"/>
          <w:b/>
          <w:smallCaps/>
          <w:sz w:val="36"/>
          <w:szCs w:val="36"/>
        </w:rPr>
        <w:t>and</w:t>
      </w:r>
    </w:p>
    <w:p w14:paraId="575F8228" w14:textId="45B8616D" w:rsidR="001427C6" w:rsidRDefault="001427C6" w:rsidP="002D5DD2">
      <w:pPr>
        <w:pStyle w:val="NoSpacing"/>
        <w:jc w:val="center"/>
        <w:rPr>
          <w:rFonts w:ascii="Times New Roman" w:hAnsi="Times New Roman"/>
          <w:b/>
          <w:smallCaps/>
          <w:sz w:val="36"/>
          <w:szCs w:val="36"/>
        </w:rPr>
      </w:pPr>
      <w:r>
        <w:rPr>
          <w:rFonts w:ascii="Times New Roman" w:hAnsi="Times New Roman"/>
          <w:b/>
          <w:smallCaps/>
          <w:sz w:val="36"/>
          <w:szCs w:val="36"/>
        </w:rPr>
        <w:t>Transportation &amp; Housing</w:t>
      </w:r>
    </w:p>
    <w:p w14:paraId="7E376FC3" w14:textId="77777777" w:rsidR="002D5DD2" w:rsidRPr="00C5298A" w:rsidRDefault="002D5DD2" w:rsidP="00961FEA">
      <w:pPr>
        <w:pStyle w:val="NoSpacing"/>
        <w:rPr>
          <w:rFonts w:ascii="Times New Roman" w:hAnsi="Times New Roman"/>
          <w:b/>
          <w:smallCaps/>
          <w:sz w:val="36"/>
          <w:szCs w:val="36"/>
        </w:rPr>
      </w:pPr>
    </w:p>
    <w:p w14:paraId="2FC79483" w14:textId="56687724" w:rsidR="002D5DD2" w:rsidRPr="00FE7890" w:rsidRDefault="001427C6" w:rsidP="002D5DD2">
      <w:pPr>
        <w:pStyle w:val="NoSpacing"/>
        <w:jc w:val="center"/>
        <w:rPr>
          <w:rFonts w:ascii="Times New Roman" w:hAnsi="Times New Roman"/>
          <w:b/>
          <w:sz w:val="28"/>
          <w:szCs w:val="28"/>
        </w:rPr>
      </w:pPr>
      <w:r>
        <w:rPr>
          <w:rFonts w:ascii="Times New Roman" w:hAnsi="Times New Roman"/>
          <w:b/>
          <w:sz w:val="28"/>
          <w:szCs w:val="28"/>
        </w:rPr>
        <w:t>November 16</w:t>
      </w:r>
      <w:r w:rsidR="00E5058C" w:rsidRPr="00E5058C">
        <w:rPr>
          <w:rFonts w:ascii="Times New Roman" w:hAnsi="Times New Roman"/>
          <w:b/>
          <w:sz w:val="28"/>
          <w:szCs w:val="28"/>
          <w:vertAlign w:val="superscript"/>
        </w:rPr>
        <w:t>th</w:t>
      </w:r>
      <w:r w:rsidR="002D5DD2" w:rsidRPr="00FE7890">
        <w:rPr>
          <w:rFonts w:ascii="Times New Roman" w:hAnsi="Times New Roman"/>
          <w:b/>
          <w:sz w:val="28"/>
          <w:szCs w:val="28"/>
        </w:rPr>
        <w:t>, 201</w:t>
      </w:r>
      <w:r w:rsidR="00A32EA0">
        <w:rPr>
          <w:rFonts w:ascii="Times New Roman" w:hAnsi="Times New Roman"/>
          <w:b/>
          <w:sz w:val="28"/>
          <w:szCs w:val="28"/>
        </w:rPr>
        <w:t>8</w:t>
      </w:r>
    </w:p>
    <w:p w14:paraId="1699250F" w14:textId="77777777" w:rsidR="002D5DD2" w:rsidRPr="002D5DD2" w:rsidRDefault="002D5DD2" w:rsidP="002D5DD2">
      <w:pPr>
        <w:pStyle w:val="NoSpacing"/>
        <w:jc w:val="center"/>
        <w:rPr>
          <w:rFonts w:ascii="Times New Roman" w:hAnsi="Times New Roman"/>
          <w:b/>
          <w:i/>
          <w:sz w:val="28"/>
          <w:szCs w:val="28"/>
        </w:rPr>
      </w:pPr>
      <w:r>
        <w:rPr>
          <w:rFonts w:ascii="Times New Roman" w:hAnsi="Times New Roman"/>
          <w:b/>
          <w:i/>
          <w:sz w:val="28"/>
          <w:szCs w:val="28"/>
        </w:rPr>
        <w:t>Committee Background</w:t>
      </w:r>
    </w:p>
    <w:p w14:paraId="0C2F5E29" w14:textId="77777777" w:rsidR="002D5DD2" w:rsidRDefault="002D5DD2" w:rsidP="008244B7">
      <w:pPr>
        <w:rPr>
          <w:rFonts w:ascii="Times New Roman" w:hAnsi="Times New Roman"/>
          <w:sz w:val="24"/>
          <w:szCs w:val="24"/>
        </w:rPr>
      </w:pPr>
    </w:p>
    <w:p w14:paraId="0EC47267" w14:textId="6B0DA6C6" w:rsidR="001427C6" w:rsidRDefault="008244B7" w:rsidP="001427C6">
      <w:pPr>
        <w:rPr>
          <w:rFonts w:ascii="Times New Roman" w:hAnsi="Times New Roman"/>
          <w:sz w:val="24"/>
          <w:szCs w:val="24"/>
        </w:rPr>
      </w:pPr>
      <w:r w:rsidRPr="00A47AC0">
        <w:rPr>
          <w:rFonts w:ascii="Times New Roman" w:hAnsi="Times New Roman"/>
          <w:sz w:val="24"/>
          <w:szCs w:val="24"/>
        </w:rPr>
        <w:t>This background pa</w:t>
      </w:r>
      <w:r w:rsidR="0004087F">
        <w:rPr>
          <w:rFonts w:ascii="Times New Roman" w:hAnsi="Times New Roman"/>
          <w:sz w:val="24"/>
          <w:szCs w:val="24"/>
        </w:rPr>
        <w:t xml:space="preserve">per prepares the members of </w:t>
      </w:r>
      <w:r w:rsidR="005E1EB6">
        <w:rPr>
          <w:rFonts w:ascii="Times New Roman" w:hAnsi="Times New Roman"/>
          <w:sz w:val="24"/>
          <w:szCs w:val="24"/>
        </w:rPr>
        <w:t xml:space="preserve">the Senate </w:t>
      </w:r>
      <w:r w:rsidRPr="00A47AC0">
        <w:rPr>
          <w:rFonts w:ascii="Times New Roman" w:hAnsi="Times New Roman"/>
          <w:sz w:val="24"/>
          <w:szCs w:val="24"/>
        </w:rPr>
        <w:t xml:space="preserve">Governance </w:t>
      </w:r>
      <w:r w:rsidR="005E1EB6">
        <w:rPr>
          <w:rFonts w:ascii="Times New Roman" w:hAnsi="Times New Roman"/>
          <w:sz w:val="24"/>
          <w:szCs w:val="24"/>
        </w:rPr>
        <w:t>&amp;</w:t>
      </w:r>
      <w:r w:rsidRPr="00A47AC0">
        <w:rPr>
          <w:rFonts w:ascii="Times New Roman" w:hAnsi="Times New Roman"/>
          <w:sz w:val="24"/>
          <w:szCs w:val="24"/>
        </w:rPr>
        <w:t xml:space="preserve"> Finance Committee </w:t>
      </w:r>
      <w:r w:rsidR="001427C6">
        <w:rPr>
          <w:rFonts w:ascii="Times New Roman" w:hAnsi="Times New Roman"/>
          <w:sz w:val="24"/>
          <w:szCs w:val="24"/>
        </w:rPr>
        <w:t xml:space="preserve">and the Senate Transportation </w:t>
      </w:r>
      <w:r w:rsidR="00D64911">
        <w:rPr>
          <w:rFonts w:ascii="Times New Roman" w:hAnsi="Times New Roman"/>
          <w:sz w:val="24"/>
          <w:szCs w:val="24"/>
        </w:rPr>
        <w:t>&amp;</w:t>
      </w:r>
      <w:r w:rsidR="001427C6">
        <w:rPr>
          <w:rFonts w:ascii="Times New Roman" w:hAnsi="Times New Roman"/>
          <w:sz w:val="24"/>
          <w:szCs w:val="24"/>
        </w:rPr>
        <w:t xml:space="preserve"> Housing Committee </w:t>
      </w:r>
      <w:r w:rsidRPr="00A47AC0">
        <w:rPr>
          <w:rFonts w:ascii="Times New Roman" w:hAnsi="Times New Roman"/>
          <w:sz w:val="24"/>
          <w:szCs w:val="24"/>
        </w:rPr>
        <w:t xml:space="preserve">for </w:t>
      </w:r>
      <w:r w:rsidR="00B11A93">
        <w:rPr>
          <w:rFonts w:ascii="Times New Roman" w:hAnsi="Times New Roman"/>
          <w:sz w:val="24"/>
          <w:szCs w:val="24"/>
        </w:rPr>
        <w:t>the</w:t>
      </w:r>
      <w:r w:rsidRPr="00A47AC0">
        <w:rPr>
          <w:rFonts w:ascii="Times New Roman" w:hAnsi="Times New Roman"/>
          <w:sz w:val="24"/>
          <w:szCs w:val="24"/>
        </w:rPr>
        <w:t xml:space="preserve"> </w:t>
      </w:r>
      <w:r w:rsidR="001427C6">
        <w:rPr>
          <w:rFonts w:ascii="Times New Roman" w:hAnsi="Times New Roman"/>
          <w:sz w:val="24"/>
          <w:szCs w:val="24"/>
        </w:rPr>
        <w:t>November 16</w:t>
      </w:r>
      <w:r w:rsidR="005E1EB6">
        <w:rPr>
          <w:rFonts w:ascii="Times New Roman" w:hAnsi="Times New Roman"/>
          <w:sz w:val="24"/>
          <w:szCs w:val="24"/>
        </w:rPr>
        <w:t>,</w:t>
      </w:r>
      <w:r w:rsidR="00B67A90" w:rsidRPr="00A47AC0">
        <w:rPr>
          <w:rFonts w:ascii="Times New Roman" w:hAnsi="Times New Roman"/>
          <w:sz w:val="24"/>
          <w:szCs w:val="24"/>
        </w:rPr>
        <w:t xml:space="preserve"> </w:t>
      </w:r>
      <w:r w:rsidR="00A32EA0">
        <w:rPr>
          <w:rFonts w:ascii="Times New Roman" w:hAnsi="Times New Roman"/>
          <w:sz w:val="24"/>
          <w:szCs w:val="24"/>
        </w:rPr>
        <w:t>2018</w:t>
      </w:r>
      <w:r w:rsidR="00CD3471">
        <w:rPr>
          <w:rFonts w:ascii="Times New Roman" w:hAnsi="Times New Roman"/>
          <w:sz w:val="24"/>
          <w:szCs w:val="24"/>
        </w:rPr>
        <w:t>,</w:t>
      </w:r>
      <w:r w:rsidR="00442A56">
        <w:rPr>
          <w:rFonts w:ascii="Times New Roman" w:hAnsi="Times New Roman"/>
          <w:sz w:val="24"/>
          <w:szCs w:val="24"/>
        </w:rPr>
        <w:t xml:space="preserve"> informational </w:t>
      </w:r>
      <w:r w:rsidRPr="00A47AC0">
        <w:rPr>
          <w:rFonts w:ascii="Times New Roman" w:hAnsi="Times New Roman"/>
          <w:sz w:val="24"/>
          <w:szCs w:val="24"/>
        </w:rPr>
        <w:t xml:space="preserve">hearing </w:t>
      </w:r>
      <w:r w:rsidR="00442A56">
        <w:rPr>
          <w:rFonts w:ascii="Times New Roman" w:hAnsi="Times New Roman"/>
          <w:sz w:val="24"/>
          <w:szCs w:val="24"/>
        </w:rPr>
        <w:t xml:space="preserve">titled </w:t>
      </w:r>
      <w:r w:rsidR="00274EEE">
        <w:rPr>
          <w:rFonts w:ascii="Times New Roman" w:hAnsi="Times New Roman"/>
          <w:sz w:val="24"/>
          <w:szCs w:val="24"/>
        </w:rPr>
        <w:t>“</w:t>
      </w:r>
      <w:r w:rsidR="001427C6" w:rsidRPr="001427C6">
        <w:rPr>
          <w:rFonts w:ascii="Times New Roman" w:hAnsi="Times New Roman"/>
          <w:b/>
          <w:sz w:val="24"/>
          <w:szCs w:val="24"/>
        </w:rPr>
        <w:t>California’s Affordable Housing Crisis: Tailored Solutions to the</w:t>
      </w:r>
      <w:r w:rsidR="001427C6">
        <w:rPr>
          <w:rFonts w:ascii="Times New Roman" w:hAnsi="Times New Roman"/>
          <w:b/>
          <w:sz w:val="24"/>
          <w:szCs w:val="24"/>
        </w:rPr>
        <w:t xml:space="preserve"> </w:t>
      </w:r>
      <w:r w:rsidR="001427C6" w:rsidRPr="001427C6">
        <w:rPr>
          <w:rFonts w:ascii="Times New Roman" w:hAnsi="Times New Roman"/>
          <w:b/>
          <w:sz w:val="24"/>
          <w:szCs w:val="24"/>
        </w:rPr>
        <w:t>Land Use Conundrum in Communities Big and Small</w:t>
      </w:r>
      <w:r w:rsidR="00274EEE">
        <w:rPr>
          <w:rFonts w:ascii="Times New Roman" w:hAnsi="Times New Roman"/>
          <w:sz w:val="24"/>
          <w:szCs w:val="24"/>
        </w:rPr>
        <w:t>.”</w:t>
      </w:r>
      <w:r w:rsidR="00274EEE" w:rsidRPr="00274EEE">
        <w:rPr>
          <w:rFonts w:ascii="Times New Roman" w:hAnsi="Times New Roman"/>
          <w:sz w:val="24"/>
          <w:szCs w:val="24"/>
        </w:rPr>
        <w:t xml:space="preserve"> </w:t>
      </w:r>
      <w:r w:rsidR="00E85E40">
        <w:rPr>
          <w:rFonts w:ascii="Times New Roman" w:hAnsi="Times New Roman"/>
          <w:sz w:val="24"/>
          <w:szCs w:val="24"/>
        </w:rPr>
        <w:t xml:space="preserve"> </w:t>
      </w:r>
      <w:r w:rsidR="00D05EBE">
        <w:rPr>
          <w:rFonts w:ascii="Times New Roman" w:hAnsi="Times New Roman"/>
          <w:sz w:val="24"/>
          <w:szCs w:val="24"/>
        </w:rPr>
        <w:t>Th</w:t>
      </w:r>
      <w:r w:rsidR="001427C6">
        <w:rPr>
          <w:rFonts w:ascii="Times New Roman" w:hAnsi="Times New Roman"/>
          <w:sz w:val="24"/>
          <w:szCs w:val="24"/>
        </w:rPr>
        <w:t>is</w:t>
      </w:r>
      <w:r w:rsidR="00D05EBE">
        <w:rPr>
          <w:rFonts w:ascii="Times New Roman" w:hAnsi="Times New Roman"/>
          <w:sz w:val="24"/>
          <w:szCs w:val="24"/>
        </w:rPr>
        <w:t xml:space="preserve"> hearing </w:t>
      </w:r>
      <w:proofErr w:type="gramStart"/>
      <w:r w:rsidR="001427C6">
        <w:rPr>
          <w:rFonts w:ascii="Times New Roman" w:hAnsi="Times New Roman"/>
          <w:sz w:val="24"/>
          <w:szCs w:val="24"/>
        </w:rPr>
        <w:t>is the second of two hearings jointly held</w:t>
      </w:r>
      <w:proofErr w:type="gramEnd"/>
      <w:r w:rsidR="001427C6">
        <w:rPr>
          <w:rFonts w:ascii="Times New Roman" w:hAnsi="Times New Roman"/>
          <w:sz w:val="24"/>
          <w:szCs w:val="24"/>
        </w:rPr>
        <w:t xml:space="preserve"> by the two committees on ensuring the availability of affordable housing in California.  The first hearing, entitled “</w:t>
      </w:r>
      <w:r w:rsidR="001427C6" w:rsidRPr="001427C6">
        <w:rPr>
          <w:rFonts w:ascii="Times New Roman" w:hAnsi="Times New Roman"/>
          <w:sz w:val="24"/>
          <w:szCs w:val="24"/>
        </w:rPr>
        <w:t>Housing for Working Families:  How Do We Pay for It?</w:t>
      </w:r>
      <w:r w:rsidR="001427C6">
        <w:rPr>
          <w:rFonts w:ascii="Times New Roman" w:hAnsi="Times New Roman"/>
          <w:sz w:val="24"/>
          <w:szCs w:val="24"/>
        </w:rPr>
        <w:t xml:space="preserve">” </w:t>
      </w:r>
      <w:r w:rsidR="00E5058C">
        <w:rPr>
          <w:rFonts w:ascii="Times New Roman" w:hAnsi="Times New Roman"/>
          <w:sz w:val="24"/>
          <w:szCs w:val="24"/>
        </w:rPr>
        <w:t>was held on October 2</w:t>
      </w:r>
      <w:r w:rsidR="00E5058C" w:rsidRPr="00E5058C">
        <w:rPr>
          <w:rFonts w:ascii="Times New Roman" w:hAnsi="Times New Roman"/>
          <w:sz w:val="24"/>
          <w:szCs w:val="24"/>
          <w:vertAlign w:val="superscript"/>
        </w:rPr>
        <w:t>nd</w:t>
      </w:r>
      <w:r w:rsidR="00E5058C">
        <w:rPr>
          <w:rFonts w:ascii="Times New Roman" w:hAnsi="Times New Roman"/>
          <w:sz w:val="24"/>
          <w:szCs w:val="24"/>
        </w:rPr>
        <w:t xml:space="preserve"> and assessed current state and local funding sources for affordable housing, identified funding gaps, and began to discuss the need for additional legislative changes beyond funding in order to address the state’s housing crisis.  </w:t>
      </w:r>
    </w:p>
    <w:p w14:paraId="367D1328" w14:textId="2DE04B91" w:rsidR="00E5058C" w:rsidRDefault="00B82ECD" w:rsidP="001427C6">
      <w:pPr>
        <w:rPr>
          <w:rFonts w:ascii="Times New Roman" w:hAnsi="Times New Roman"/>
          <w:sz w:val="24"/>
          <w:szCs w:val="24"/>
        </w:rPr>
      </w:pPr>
      <w:r>
        <w:rPr>
          <w:rFonts w:ascii="Times New Roman" w:hAnsi="Times New Roman"/>
          <w:sz w:val="24"/>
          <w:szCs w:val="24"/>
        </w:rPr>
        <w:t>Building on</w:t>
      </w:r>
      <w:r w:rsidR="006F4170">
        <w:rPr>
          <w:rFonts w:ascii="Times New Roman" w:hAnsi="Times New Roman"/>
          <w:sz w:val="24"/>
          <w:szCs w:val="24"/>
        </w:rPr>
        <w:t xml:space="preserve"> the first hearing, t</w:t>
      </w:r>
      <w:r w:rsidR="00E5058C">
        <w:rPr>
          <w:rFonts w:ascii="Times New Roman" w:hAnsi="Times New Roman"/>
          <w:sz w:val="24"/>
          <w:szCs w:val="24"/>
        </w:rPr>
        <w:t>his hearing</w:t>
      </w:r>
      <w:r w:rsidR="006F4170">
        <w:rPr>
          <w:rFonts w:ascii="Times New Roman" w:hAnsi="Times New Roman"/>
          <w:sz w:val="24"/>
          <w:szCs w:val="24"/>
        </w:rPr>
        <w:t xml:space="preserve"> will examine changes to land use policies that </w:t>
      </w:r>
      <w:proofErr w:type="gramStart"/>
      <w:r w:rsidR="006F4170">
        <w:rPr>
          <w:rFonts w:ascii="Times New Roman" w:hAnsi="Times New Roman"/>
          <w:sz w:val="24"/>
          <w:szCs w:val="24"/>
        </w:rPr>
        <w:t>are needed</w:t>
      </w:r>
      <w:proofErr w:type="gramEnd"/>
      <w:r w:rsidR="006F4170">
        <w:rPr>
          <w:rFonts w:ascii="Times New Roman" w:hAnsi="Times New Roman"/>
          <w:sz w:val="24"/>
          <w:szCs w:val="24"/>
        </w:rPr>
        <w:t xml:space="preserve"> to increase density and ensure that housing is affordable to </w:t>
      </w:r>
      <w:r w:rsidR="00C470FA">
        <w:rPr>
          <w:rFonts w:ascii="Times New Roman" w:hAnsi="Times New Roman"/>
          <w:sz w:val="24"/>
          <w:szCs w:val="24"/>
        </w:rPr>
        <w:t xml:space="preserve">all Californians, as well as how the housing crisis looks different </w:t>
      </w:r>
      <w:r w:rsidR="00C751DC">
        <w:rPr>
          <w:rFonts w:ascii="Times New Roman" w:hAnsi="Times New Roman"/>
          <w:sz w:val="24"/>
          <w:szCs w:val="24"/>
        </w:rPr>
        <w:t>across the state.</w:t>
      </w:r>
    </w:p>
    <w:p w14:paraId="43F1639E" w14:textId="79055565" w:rsidR="00442A56" w:rsidRDefault="00A7531C" w:rsidP="00E81E0D">
      <w:pPr>
        <w:rPr>
          <w:rFonts w:ascii="Times New Roman" w:hAnsi="Times New Roman"/>
          <w:sz w:val="24"/>
          <w:szCs w:val="24"/>
        </w:rPr>
      </w:pPr>
      <w:r>
        <w:rPr>
          <w:rFonts w:ascii="Times New Roman" w:hAnsi="Times New Roman"/>
          <w:sz w:val="24"/>
          <w:szCs w:val="24"/>
        </w:rPr>
        <w:t xml:space="preserve">For additional information on the </w:t>
      </w:r>
      <w:r w:rsidR="00E5058C">
        <w:rPr>
          <w:rFonts w:ascii="Times New Roman" w:hAnsi="Times New Roman"/>
          <w:sz w:val="24"/>
          <w:szCs w:val="24"/>
        </w:rPr>
        <w:t>state’s affordable housing gap</w:t>
      </w:r>
      <w:r w:rsidR="006F4170">
        <w:rPr>
          <w:rFonts w:ascii="Times New Roman" w:hAnsi="Times New Roman"/>
          <w:sz w:val="24"/>
          <w:szCs w:val="24"/>
        </w:rPr>
        <w:t xml:space="preserve"> and funding needs</w:t>
      </w:r>
      <w:r w:rsidR="00E81E0D">
        <w:rPr>
          <w:rFonts w:ascii="Times New Roman" w:hAnsi="Times New Roman"/>
          <w:sz w:val="24"/>
          <w:szCs w:val="24"/>
        </w:rPr>
        <w:t>, please see</w:t>
      </w:r>
      <w:r w:rsidR="00343C3B">
        <w:rPr>
          <w:rFonts w:ascii="Times New Roman" w:hAnsi="Times New Roman"/>
          <w:sz w:val="24"/>
          <w:szCs w:val="24"/>
        </w:rPr>
        <w:t xml:space="preserve"> the </w:t>
      </w:r>
      <w:r w:rsidR="00077FCC">
        <w:rPr>
          <w:rFonts w:ascii="Times New Roman" w:hAnsi="Times New Roman"/>
          <w:sz w:val="24"/>
          <w:szCs w:val="24"/>
        </w:rPr>
        <w:t xml:space="preserve">agenda, </w:t>
      </w:r>
      <w:r w:rsidR="00343C3B">
        <w:rPr>
          <w:rFonts w:ascii="Times New Roman" w:hAnsi="Times New Roman"/>
          <w:sz w:val="24"/>
          <w:szCs w:val="24"/>
        </w:rPr>
        <w:t>background paper</w:t>
      </w:r>
      <w:r w:rsidR="00077FCC">
        <w:rPr>
          <w:rFonts w:ascii="Times New Roman" w:hAnsi="Times New Roman"/>
          <w:sz w:val="24"/>
          <w:szCs w:val="24"/>
        </w:rPr>
        <w:t>,</w:t>
      </w:r>
      <w:r w:rsidR="00343C3B">
        <w:rPr>
          <w:rFonts w:ascii="Times New Roman" w:hAnsi="Times New Roman"/>
          <w:sz w:val="24"/>
          <w:szCs w:val="24"/>
        </w:rPr>
        <w:t xml:space="preserve"> </w:t>
      </w:r>
      <w:r w:rsidR="00E5058C">
        <w:rPr>
          <w:rFonts w:ascii="Times New Roman" w:hAnsi="Times New Roman"/>
          <w:sz w:val="24"/>
          <w:szCs w:val="24"/>
        </w:rPr>
        <w:t xml:space="preserve">and other materials from the October </w:t>
      </w:r>
      <w:proofErr w:type="gramStart"/>
      <w:r w:rsidR="00E5058C">
        <w:rPr>
          <w:rFonts w:ascii="Times New Roman" w:hAnsi="Times New Roman"/>
          <w:sz w:val="24"/>
          <w:szCs w:val="24"/>
        </w:rPr>
        <w:t>2</w:t>
      </w:r>
      <w:r w:rsidR="00E5058C" w:rsidRPr="00E5058C">
        <w:rPr>
          <w:rFonts w:ascii="Times New Roman" w:hAnsi="Times New Roman"/>
          <w:sz w:val="24"/>
          <w:szCs w:val="24"/>
          <w:vertAlign w:val="superscript"/>
        </w:rPr>
        <w:t>nd</w:t>
      </w:r>
      <w:proofErr w:type="gramEnd"/>
      <w:r w:rsidR="00E5058C">
        <w:rPr>
          <w:rFonts w:ascii="Times New Roman" w:hAnsi="Times New Roman"/>
          <w:sz w:val="24"/>
          <w:szCs w:val="24"/>
        </w:rPr>
        <w:t xml:space="preserve"> hearing.  Those materials are</w:t>
      </w:r>
      <w:r w:rsidR="00D05EBE">
        <w:rPr>
          <w:rFonts w:ascii="Times New Roman" w:hAnsi="Times New Roman"/>
          <w:sz w:val="24"/>
          <w:szCs w:val="24"/>
        </w:rPr>
        <w:t xml:space="preserve"> available on the Senate Governance and Finance Committee website at</w:t>
      </w:r>
      <w:r w:rsidR="00B82ECD">
        <w:rPr>
          <w:rFonts w:ascii="Times New Roman" w:hAnsi="Times New Roman"/>
          <w:sz w:val="24"/>
          <w:szCs w:val="24"/>
        </w:rPr>
        <w:t>:</w:t>
      </w:r>
      <w:r w:rsidR="00D05EBE">
        <w:rPr>
          <w:rFonts w:ascii="Times New Roman" w:hAnsi="Times New Roman"/>
          <w:sz w:val="24"/>
          <w:szCs w:val="24"/>
        </w:rPr>
        <w:t xml:space="preserve"> </w:t>
      </w:r>
      <w:hyperlink r:id="rId8" w:history="1">
        <w:r w:rsidR="00D05EBE" w:rsidRPr="00EB5348">
          <w:rPr>
            <w:rStyle w:val="Hyperlink"/>
            <w:rFonts w:ascii="Times New Roman" w:hAnsi="Times New Roman"/>
            <w:sz w:val="24"/>
            <w:szCs w:val="24"/>
          </w:rPr>
          <w:t>http://sgf.senate.ca.gov/hearings</w:t>
        </w:r>
      </w:hyperlink>
      <w:r w:rsidR="008939D3">
        <w:rPr>
          <w:rFonts w:ascii="Times New Roman" w:hAnsi="Times New Roman"/>
          <w:sz w:val="24"/>
          <w:szCs w:val="24"/>
        </w:rPr>
        <w:t xml:space="preserve"> and the Senate Transportation and Housing Committee website at:</w:t>
      </w:r>
      <w:r w:rsidR="00B82ECD">
        <w:rPr>
          <w:rFonts w:ascii="Times New Roman" w:hAnsi="Times New Roman"/>
          <w:sz w:val="24"/>
          <w:szCs w:val="24"/>
        </w:rPr>
        <w:t xml:space="preserve"> </w:t>
      </w:r>
      <w:hyperlink r:id="rId9" w:history="1">
        <w:r w:rsidR="00B82ECD" w:rsidRPr="005E06E8">
          <w:rPr>
            <w:rStyle w:val="Hyperlink"/>
            <w:rFonts w:ascii="Times New Roman" w:hAnsi="Times New Roman"/>
            <w:sz w:val="24"/>
            <w:szCs w:val="24"/>
          </w:rPr>
          <w:t>https://stran.senate.ca.gov/content/oversightinfo-hearings</w:t>
        </w:r>
      </w:hyperlink>
      <w:r w:rsidR="00B82ECD">
        <w:rPr>
          <w:rFonts w:ascii="Times New Roman" w:hAnsi="Times New Roman"/>
          <w:sz w:val="24"/>
          <w:szCs w:val="24"/>
        </w:rPr>
        <w:t xml:space="preserve">.  </w:t>
      </w:r>
    </w:p>
    <w:p w14:paraId="4493F044" w14:textId="3AF068CA" w:rsidR="006F4170" w:rsidRPr="006B0B8C" w:rsidRDefault="006F4170">
      <w:pPr>
        <w:tabs>
          <w:tab w:val="left" w:pos="6120"/>
        </w:tabs>
        <w:rPr>
          <w:rFonts w:ascii="Times New Roman" w:hAnsi="Times New Roman"/>
          <w:b/>
          <w:sz w:val="28"/>
          <w:szCs w:val="28"/>
        </w:rPr>
      </w:pPr>
      <w:r>
        <w:rPr>
          <w:rFonts w:ascii="Times New Roman" w:hAnsi="Times New Roman"/>
          <w:b/>
          <w:sz w:val="28"/>
          <w:szCs w:val="28"/>
        </w:rPr>
        <w:lastRenderedPageBreak/>
        <w:t xml:space="preserve">Recap of October </w:t>
      </w:r>
      <w:proofErr w:type="gramStart"/>
      <w:r>
        <w:rPr>
          <w:rFonts w:ascii="Times New Roman" w:hAnsi="Times New Roman"/>
          <w:b/>
          <w:sz w:val="28"/>
          <w:szCs w:val="28"/>
        </w:rPr>
        <w:t>2</w:t>
      </w:r>
      <w:r w:rsidRPr="006F4170">
        <w:rPr>
          <w:rFonts w:ascii="Times New Roman" w:hAnsi="Times New Roman"/>
          <w:b/>
          <w:sz w:val="28"/>
          <w:szCs w:val="28"/>
          <w:vertAlign w:val="superscript"/>
        </w:rPr>
        <w:t>nd</w:t>
      </w:r>
      <w:proofErr w:type="gramEnd"/>
      <w:r>
        <w:rPr>
          <w:rFonts w:ascii="Times New Roman" w:hAnsi="Times New Roman"/>
          <w:b/>
          <w:sz w:val="28"/>
          <w:szCs w:val="28"/>
        </w:rPr>
        <w:t xml:space="preserve"> </w:t>
      </w:r>
      <w:r w:rsidR="00FC7C1D" w:rsidRPr="00FC7C1D">
        <w:rPr>
          <w:rFonts w:ascii="Times New Roman" w:hAnsi="Times New Roman"/>
          <w:b/>
          <w:sz w:val="28"/>
          <w:szCs w:val="28"/>
        </w:rPr>
        <w:t>Hearing</w:t>
      </w:r>
      <w:r>
        <w:rPr>
          <w:rFonts w:ascii="Times New Roman" w:hAnsi="Times New Roman"/>
          <w:b/>
          <w:sz w:val="28"/>
          <w:szCs w:val="28"/>
        </w:rPr>
        <w:t>:</w:t>
      </w:r>
      <w:r w:rsidR="006B0B8C">
        <w:rPr>
          <w:rFonts w:ascii="Times New Roman" w:hAnsi="Times New Roman"/>
          <w:b/>
          <w:sz w:val="28"/>
          <w:szCs w:val="28"/>
        </w:rPr>
        <w:t xml:space="preserve"> </w:t>
      </w:r>
      <w:r w:rsidR="006B0B8C">
        <w:rPr>
          <w:rFonts w:ascii="Times New Roman" w:hAnsi="Times New Roman"/>
          <w:b/>
          <w:sz w:val="28"/>
          <w:szCs w:val="28"/>
        </w:rPr>
        <w:br/>
      </w:r>
      <w:r w:rsidRPr="006B0B8C">
        <w:rPr>
          <w:rFonts w:ascii="Times New Roman" w:hAnsi="Times New Roman"/>
          <w:b/>
          <w:sz w:val="28"/>
          <w:szCs w:val="28"/>
        </w:rPr>
        <w:t>Housing for Working Families – How Do We Pay for It?</w:t>
      </w:r>
    </w:p>
    <w:p w14:paraId="2043D04B" w14:textId="6B54B384" w:rsidR="006B6D8A" w:rsidRDefault="006B6D8A" w:rsidP="006B6D8A">
      <w:pPr>
        <w:rPr>
          <w:rFonts w:ascii="Times New Roman" w:hAnsi="Times New Roman"/>
          <w:sz w:val="24"/>
          <w:szCs w:val="24"/>
        </w:rPr>
      </w:pPr>
      <w:r>
        <w:rPr>
          <w:rFonts w:ascii="Times New Roman" w:hAnsi="Times New Roman"/>
          <w:sz w:val="24"/>
          <w:szCs w:val="24"/>
        </w:rPr>
        <w:t xml:space="preserve">The Senate Committees on Transportation &amp; Housing and Governance &amp; Finance conducted an informational hearing on affordable housing finance on October </w:t>
      </w:r>
      <w:proofErr w:type="gramStart"/>
      <w:r>
        <w:rPr>
          <w:rFonts w:ascii="Times New Roman" w:hAnsi="Times New Roman"/>
          <w:sz w:val="24"/>
          <w:szCs w:val="24"/>
        </w:rPr>
        <w:t>2</w:t>
      </w:r>
      <w:r>
        <w:rPr>
          <w:rFonts w:ascii="Times New Roman" w:hAnsi="Times New Roman"/>
          <w:sz w:val="24"/>
          <w:szCs w:val="24"/>
          <w:vertAlign w:val="superscript"/>
        </w:rPr>
        <w:t>nd</w:t>
      </w:r>
      <w:proofErr w:type="gramEnd"/>
      <w:r>
        <w:rPr>
          <w:rFonts w:ascii="Times New Roman" w:hAnsi="Times New Roman"/>
          <w:sz w:val="24"/>
          <w:szCs w:val="24"/>
        </w:rPr>
        <w:t xml:space="preserve">.   The Committees first heard testimony on the state’s affordable housing gap, as well as state-level funding needs and future </w:t>
      </w:r>
      <w:r w:rsidR="00844AA5">
        <w:rPr>
          <w:rFonts w:ascii="Times New Roman" w:hAnsi="Times New Roman"/>
          <w:sz w:val="24"/>
          <w:szCs w:val="24"/>
        </w:rPr>
        <w:t xml:space="preserve">funding </w:t>
      </w:r>
      <w:r>
        <w:rPr>
          <w:rFonts w:ascii="Times New Roman" w:hAnsi="Times New Roman"/>
          <w:sz w:val="24"/>
          <w:szCs w:val="24"/>
        </w:rPr>
        <w:t xml:space="preserve">sources from officials in state government and their partners.  This panel spoke to the specific financing proposals that have been implemented by the Legislature and the Governor over the last several years to address the housing crisis, but emphasized that more </w:t>
      </w:r>
      <w:r w:rsidR="00B82ECD">
        <w:rPr>
          <w:rFonts w:ascii="Times New Roman" w:hAnsi="Times New Roman"/>
          <w:sz w:val="24"/>
          <w:szCs w:val="24"/>
        </w:rPr>
        <w:t xml:space="preserve">action </w:t>
      </w:r>
      <w:proofErr w:type="gramStart"/>
      <w:r w:rsidR="00B82ECD">
        <w:rPr>
          <w:rFonts w:ascii="Times New Roman" w:hAnsi="Times New Roman"/>
          <w:sz w:val="24"/>
          <w:szCs w:val="24"/>
        </w:rPr>
        <w:t>is needed</w:t>
      </w:r>
      <w:proofErr w:type="gramEnd"/>
      <w:r w:rsidR="00B82ECD">
        <w:rPr>
          <w:rFonts w:ascii="Times New Roman" w:hAnsi="Times New Roman"/>
          <w:sz w:val="24"/>
          <w:szCs w:val="24"/>
        </w:rPr>
        <w:t xml:space="preserve"> </w:t>
      </w:r>
      <w:r>
        <w:rPr>
          <w:rFonts w:ascii="Times New Roman" w:hAnsi="Times New Roman"/>
          <w:sz w:val="24"/>
          <w:szCs w:val="24"/>
        </w:rPr>
        <w:t xml:space="preserve">to fill funding gaps, particularly after the loss of redevelopment agencies in 2011.  Further, this panel noted that while the housing crisis </w:t>
      </w:r>
      <w:proofErr w:type="gramStart"/>
      <w:r>
        <w:rPr>
          <w:rFonts w:ascii="Times New Roman" w:hAnsi="Times New Roman"/>
          <w:sz w:val="24"/>
          <w:szCs w:val="24"/>
        </w:rPr>
        <w:t>is felt</w:t>
      </w:r>
      <w:proofErr w:type="gramEnd"/>
      <w:r>
        <w:rPr>
          <w:rFonts w:ascii="Times New Roman" w:hAnsi="Times New Roman"/>
          <w:sz w:val="24"/>
          <w:szCs w:val="24"/>
        </w:rPr>
        <w:t xml:space="preserve"> across all income levels, the greatest </w:t>
      </w:r>
      <w:r w:rsidR="00C720A4">
        <w:rPr>
          <w:rFonts w:ascii="Times New Roman" w:hAnsi="Times New Roman"/>
          <w:sz w:val="24"/>
          <w:szCs w:val="24"/>
        </w:rPr>
        <w:t xml:space="preserve">funding </w:t>
      </w:r>
      <w:r>
        <w:rPr>
          <w:rFonts w:ascii="Times New Roman" w:hAnsi="Times New Roman"/>
          <w:sz w:val="24"/>
          <w:szCs w:val="24"/>
        </w:rPr>
        <w:t xml:space="preserve">needs and housing unit deficits </w:t>
      </w:r>
      <w:r w:rsidR="00CD2EB6">
        <w:rPr>
          <w:rFonts w:ascii="Times New Roman" w:hAnsi="Times New Roman"/>
          <w:sz w:val="24"/>
          <w:szCs w:val="24"/>
        </w:rPr>
        <w:t>occurs</w:t>
      </w:r>
      <w:r>
        <w:rPr>
          <w:rFonts w:ascii="Times New Roman" w:hAnsi="Times New Roman"/>
          <w:sz w:val="24"/>
          <w:szCs w:val="24"/>
        </w:rPr>
        <w:t xml:space="preserve"> with low-income households.  </w:t>
      </w:r>
    </w:p>
    <w:p w14:paraId="1B6D8FA6" w14:textId="6D20D86F" w:rsidR="006B6D8A" w:rsidRDefault="006B6D8A" w:rsidP="006B6D8A">
      <w:pPr>
        <w:rPr>
          <w:rFonts w:ascii="Times New Roman" w:hAnsi="Times New Roman"/>
          <w:sz w:val="24"/>
          <w:szCs w:val="24"/>
        </w:rPr>
      </w:pPr>
      <w:r>
        <w:rPr>
          <w:rFonts w:ascii="Times New Roman" w:hAnsi="Times New Roman"/>
          <w:sz w:val="24"/>
          <w:szCs w:val="24"/>
        </w:rPr>
        <w:t xml:space="preserve">Next, the Committees heard from </w:t>
      </w:r>
      <w:r w:rsidR="0050621C">
        <w:rPr>
          <w:rFonts w:ascii="Times New Roman" w:hAnsi="Times New Roman"/>
          <w:sz w:val="24"/>
          <w:szCs w:val="24"/>
        </w:rPr>
        <w:t xml:space="preserve">local government </w:t>
      </w:r>
      <w:r>
        <w:rPr>
          <w:rFonts w:ascii="Times New Roman" w:hAnsi="Times New Roman"/>
          <w:sz w:val="24"/>
          <w:szCs w:val="24"/>
        </w:rPr>
        <w:t xml:space="preserve">representatives on local housing finance and the tools local governments </w:t>
      </w:r>
      <w:r w:rsidR="0050621C">
        <w:rPr>
          <w:rFonts w:ascii="Times New Roman" w:hAnsi="Times New Roman"/>
          <w:sz w:val="24"/>
          <w:szCs w:val="24"/>
        </w:rPr>
        <w:t xml:space="preserve">should </w:t>
      </w:r>
      <w:r>
        <w:rPr>
          <w:rFonts w:ascii="Times New Roman" w:hAnsi="Times New Roman"/>
          <w:sz w:val="24"/>
          <w:szCs w:val="24"/>
        </w:rPr>
        <w:t xml:space="preserve">be using to support affordable housing development at the local level.  This panel noted the need for more state housing funding.  </w:t>
      </w:r>
      <w:proofErr w:type="gramStart"/>
      <w:r>
        <w:rPr>
          <w:rFonts w:ascii="Times New Roman" w:hAnsi="Times New Roman"/>
          <w:sz w:val="24"/>
          <w:szCs w:val="24"/>
        </w:rPr>
        <w:t xml:space="preserve">In particular, the panel noted the need: </w:t>
      </w:r>
      <w:r w:rsidR="003929FE">
        <w:rPr>
          <w:rFonts w:ascii="Times New Roman" w:hAnsi="Times New Roman"/>
          <w:sz w:val="24"/>
          <w:szCs w:val="24"/>
        </w:rPr>
        <w:t>(</w:t>
      </w:r>
      <w:r>
        <w:rPr>
          <w:rFonts w:ascii="Times New Roman" w:hAnsi="Times New Roman"/>
          <w:sz w:val="24"/>
          <w:szCs w:val="24"/>
        </w:rPr>
        <w:t xml:space="preserve">1) for funds to finance permanent supportive housing for the homeless and housing that espouses </w:t>
      </w:r>
      <w:r w:rsidR="00077FCC">
        <w:rPr>
          <w:rFonts w:ascii="Times New Roman" w:hAnsi="Times New Roman"/>
          <w:sz w:val="24"/>
          <w:szCs w:val="24"/>
        </w:rPr>
        <w:t>“</w:t>
      </w:r>
      <w:r>
        <w:rPr>
          <w:rFonts w:ascii="Times New Roman" w:hAnsi="Times New Roman"/>
          <w:sz w:val="24"/>
          <w:szCs w:val="24"/>
        </w:rPr>
        <w:t>housing first</w:t>
      </w:r>
      <w:r w:rsidR="00077FCC">
        <w:rPr>
          <w:rFonts w:ascii="Times New Roman" w:hAnsi="Times New Roman"/>
          <w:sz w:val="24"/>
          <w:szCs w:val="24"/>
        </w:rPr>
        <w:t>”</w:t>
      </w:r>
      <w:r w:rsidR="003929FE">
        <w:rPr>
          <w:rStyle w:val="FootnoteReference"/>
          <w:rFonts w:ascii="Times New Roman" w:hAnsi="Times New Roman"/>
          <w:sz w:val="24"/>
          <w:szCs w:val="24"/>
        </w:rPr>
        <w:footnoteReference w:id="2"/>
      </w:r>
      <w:r>
        <w:rPr>
          <w:rFonts w:ascii="Times New Roman" w:hAnsi="Times New Roman"/>
          <w:sz w:val="24"/>
          <w:szCs w:val="24"/>
        </w:rPr>
        <w:t xml:space="preserve"> principles; </w:t>
      </w:r>
      <w:r w:rsidR="003929FE">
        <w:rPr>
          <w:rFonts w:ascii="Times New Roman" w:hAnsi="Times New Roman"/>
          <w:sz w:val="24"/>
          <w:szCs w:val="24"/>
        </w:rPr>
        <w:t>(</w:t>
      </w:r>
      <w:r>
        <w:rPr>
          <w:rFonts w:ascii="Times New Roman" w:hAnsi="Times New Roman"/>
          <w:sz w:val="24"/>
          <w:szCs w:val="24"/>
        </w:rPr>
        <w:t xml:space="preserve">2) to bring back redevelopment agencies to provide funding for housing for low- and moderate-income households; and </w:t>
      </w:r>
      <w:r w:rsidR="003929FE">
        <w:rPr>
          <w:rFonts w:ascii="Times New Roman" w:hAnsi="Times New Roman"/>
          <w:sz w:val="24"/>
          <w:szCs w:val="24"/>
        </w:rPr>
        <w:t>(</w:t>
      </w:r>
      <w:r>
        <w:rPr>
          <w:rFonts w:ascii="Times New Roman" w:hAnsi="Times New Roman"/>
          <w:sz w:val="24"/>
          <w:szCs w:val="24"/>
        </w:rPr>
        <w:t xml:space="preserve">3) </w:t>
      </w:r>
      <w:r w:rsidR="0050621C">
        <w:rPr>
          <w:rFonts w:ascii="Times New Roman" w:hAnsi="Times New Roman"/>
          <w:sz w:val="24"/>
          <w:szCs w:val="24"/>
        </w:rPr>
        <w:t xml:space="preserve">to provide </w:t>
      </w:r>
      <w:r>
        <w:rPr>
          <w:rFonts w:ascii="Times New Roman" w:hAnsi="Times New Roman"/>
          <w:sz w:val="24"/>
          <w:szCs w:val="24"/>
        </w:rPr>
        <w:t xml:space="preserve">funds to local housing trust funds that </w:t>
      </w:r>
      <w:r w:rsidR="0050621C">
        <w:rPr>
          <w:rFonts w:ascii="Times New Roman" w:hAnsi="Times New Roman"/>
          <w:sz w:val="24"/>
          <w:szCs w:val="24"/>
        </w:rPr>
        <w:t>empower</w:t>
      </w:r>
      <w:r>
        <w:rPr>
          <w:rFonts w:ascii="Times New Roman" w:hAnsi="Times New Roman"/>
          <w:sz w:val="24"/>
          <w:szCs w:val="24"/>
        </w:rPr>
        <w:t xml:space="preserve"> locals with flexibility to address specific local needs. </w:t>
      </w:r>
      <w:proofErr w:type="gramEnd"/>
      <w:r>
        <w:rPr>
          <w:rFonts w:ascii="Times New Roman" w:hAnsi="Times New Roman"/>
          <w:sz w:val="24"/>
          <w:szCs w:val="24"/>
        </w:rPr>
        <w:t xml:space="preserve"> </w:t>
      </w:r>
    </w:p>
    <w:p w14:paraId="552CA50D" w14:textId="4C016C69" w:rsidR="006B6D8A" w:rsidRDefault="006B6D8A" w:rsidP="006B6D8A">
      <w:pPr>
        <w:rPr>
          <w:rFonts w:ascii="Times New Roman" w:hAnsi="Times New Roman"/>
          <w:sz w:val="24"/>
          <w:szCs w:val="24"/>
        </w:rPr>
      </w:pPr>
      <w:r>
        <w:rPr>
          <w:rFonts w:ascii="Times New Roman" w:hAnsi="Times New Roman"/>
          <w:sz w:val="24"/>
          <w:szCs w:val="24"/>
        </w:rPr>
        <w:t xml:space="preserve">Finally, the Committees heard from the development community and affordable housing advocates on additional steps needed to address the state’s housing crisis.  This panel noted that housing production should be a state priority, next year and beyond.  Such efforts should take land value capture (i.e. a policy approach that enables communities to recover and reinvest land value increases that result from public investment and other government actions) for new housing projects into </w:t>
      </w:r>
      <w:proofErr w:type="gramStart"/>
      <w:r>
        <w:rPr>
          <w:rFonts w:ascii="Times New Roman" w:hAnsi="Times New Roman"/>
          <w:sz w:val="24"/>
          <w:szCs w:val="24"/>
        </w:rPr>
        <w:t>account,</w:t>
      </w:r>
      <w:proofErr w:type="gramEnd"/>
      <w:r>
        <w:rPr>
          <w:rFonts w:ascii="Times New Roman" w:hAnsi="Times New Roman"/>
          <w:sz w:val="24"/>
          <w:szCs w:val="24"/>
        </w:rPr>
        <w:t xml:space="preserve"> provide adequate protections for low-income tenants who may be displaced by new developments, and </w:t>
      </w:r>
      <w:r w:rsidR="0050701F">
        <w:rPr>
          <w:rFonts w:ascii="Times New Roman" w:hAnsi="Times New Roman"/>
          <w:sz w:val="24"/>
          <w:szCs w:val="24"/>
        </w:rPr>
        <w:t xml:space="preserve">account </w:t>
      </w:r>
      <w:r>
        <w:rPr>
          <w:rFonts w:ascii="Times New Roman" w:hAnsi="Times New Roman"/>
          <w:sz w:val="24"/>
          <w:szCs w:val="24"/>
        </w:rPr>
        <w:t xml:space="preserve">for regional differences throughout the state.  Further, this panel noted that better coordination between statewide housing programs would greatly assist applicants navigate the application process.  </w:t>
      </w:r>
    </w:p>
    <w:p w14:paraId="520FB270" w14:textId="268BA8FA" w:rsidR="00B507FB" w:rsidRDefault="00B507FB" w:rsidP="006B1100">
      <w:pPr>
        <w:tabs>
          <w:tab w:val="left" w:pos="6120"/>
        </w:tabs>
        <w:rPr>
          <w:rFonts w:ascii="Times New Roman" w:hAnsi="Times New Roman"/>
          <w:b/>
          <w:sz w:val="28"/>
          <w:szCs w:val="24"/>
        </w:rPr>
      </w:pPr>
      <w:r>
        <w:rPr>
          <w:rFonts w:ascii="Times New Roman" w:hAnsi="Times New Roman"/>
          <w:b/>
          <w:sz w:val="28"/>
          <w:szCs w:val="24"/>
        </w:rPr>
        <w:t xml:space="preserve">Housing </w:t>
      </w:r>
      <w:r w:rsidR="0041625B">
        <w:rPr>
          <w:rFonts w:ascii="Times New Roman" w:hAnsi="Times New Roman"/>
          <w:b/>
          <w:sz w:val="28"/>
          <w:szCs w:val="24"/>
        </w:rPr>
        <w:t xml:space="preserve">Development </w:t>
      </w:r>
      <w:r>
        <w:rPr>
          <w:rFonts w:ascii="Times New Roman" w:hAnsi="Times New Roman"/>
          <w:b/>
          <w:sz w:val="28"/>
          <w:szCs w:val="24"/>
        </w:rPr>
        <w:t>Approval Is Largely Local</w:t>
      </w:r>
    </w:p>
    <w:p w14:paraId="06D49914" w14:textId="29F8E124" w:rsidR="004F455F" w:rsidRDefault="004F455F" w:rsidP="004F455F">
      <w:pPr>
        <w:tabs>
          <w:tab w:val="left" w:pos="6120"/>
        </w:tabs>
        <w:rPr>
          <w:rFonts w:ascii="Times New Roman" w:hAnsi="Times New Roman"/>
          <w:sz w:val="24"/>
          <w:szCs w:val="24"/>
        </w:rPr>
      </w:pPr>
      <w:r>
        <w:rPr>
          <w:rFonts w:ascii="Times New Roman" w:hAnsi="Times New Roman"/>
          <w:sz w:val="24"/>
          <w:szCs w:val="24"/>
        </w:rPr>
        <w:t xml:space="preserve">As noted in the previous hearing and background paper, </w:t>
      </w:r>
      <w:r w:rsidR="00BA0864">
        <w:rPr>
          <w:rFonts w:ascii="Times New Roman" w:hAnsi="Times New Roman"/>
          <w:sz w:val="24"/>
          <w:szCs w:val="24"/>
        </w:rPr>
        <w:t xml:space="preserve">even if </w:t>
      </w:r>
      <w:r w:rsidR="00397308">
        <w:rPr>
          <w:rFonts w:ascii="Times New Roman" w:hAnsi="Times New Roman"/>
          <w:sz w:val="24"/>
          <w:szCs w:val="24"/>
        </w:rPr>
        <w:t>the Legislature provides additional funding</w:t>
      </w:r>
      <w:r w:rsidR="00BE61DA">
        <w:rPr>
          <w:rFonts w:ascii="Times New Roman" w:hAnsi="Times New Roman"/>
          <w:sz w:val="24"/>
          <w:szCs w:val="24"/>
        </w:rPr>
        <w:t xml:space="preserve"> for affordable housing</w:t>
      </w:r>
      <w:r w:rsidR="00BA0864">
        <w:rPr>
          <w:rFonts w:ascii="Times New Roman" w:hAnsi="Times New Roman"/>
          <w:sz w:val="24"/>
          <w:szCs w:val="24"/>
        </w:rPr>
        <w:t xml:space="preserve">, </w:t>
      </w:r>
      <w:r>
        <w:rPr>
          <w:rFonts w:ascii="Times New Roman" w:hAnsi="Times New Roman"/>
          <w:sz w:val="24"/>
          <w:szCs w:val="24"/>
        </w:rPr>
        <w:t xml:space="preserve">a significant gap in housing production at all income </w:t>
      </w:r>
      <w:r>
        <w:rPr>
          <w:rFonts w:ascii="Times New Roman" w:hAnsi="Times New Roman"/>
          <w:sz w:val="24"/>
          <w:szCs w:val="24"/>
        </w:rPr>
        <w:lastRenderedPageBreak/>
        <w:t>levels is likely to remain</w:t>
      </w:r>
      <w:r w:rsidR="00077FCC">
        <w:rPr>
          <w:rFonts w:ascii="Times New Roman" w:hAnsi="Times New Roman"/>
          <w:sz w:val="24"/>
          <w:szCs w:val="24"/>
        </w:rPr>
        <w:t xml:space="preserve"> for the </w:t>
      </w:r>
      <w:proofErr w:type="gramStart"/>
      <w:r w:rsidR="00077FCC">
        <w:rPr>
          <w:rFonts w:ascii="Times New Roman" w:hAnsi="Times New Roman"/>
          <w:sz w:val="24"/>
          <w:szCs w:val="24"/>
        </w:rPr>
        <w:t>foreseeable</w:t>
      </w:r>
      <w:proofErr w:type="gramEnd"/>
      <w:r w:rsidR="00077FCC">
        <w:rPr>
          <w:rFonts w:ascii="Times New Roman" w:hAnsi="Times New Roman"/>
          <w:sz w:val="24"/>
          <w:szCs w:val="24"/>
        </w:rPr>
        <w:t xml:space="preserve"> future</w:t>
      </w:r>
      <w:r>
        <w:rPr>
          <w:rFonts w:ascii="Times New Roman" w:hAnsi="Times New Roman"/>
          <w:sz w:val="24"/>
          <w:szCs w:val="24"/>
        </w:rPr>
        <w:t xml:space="preserve">.  Accordingly, it is unlikely that increased funding alone can ensure affordable housing for many Californians; additional unsubsidized housing production </w:t>
      </w:r>
      <w:proofErr w:type="gramStart"/>
      <w:r>
        <w:rPr>
          <w:rFonts w:ascii="Times New Roman" w:hAnsi="Times New Roman"/>
          <w:sz w:val="24"/>
          <w:szCs w:val="24"/>
        </w:rPr>
        <w:t>is needed</w:t>
      </w:r>
      <w:proofErr w:type="gramEnd"/>
      <w:r>
        <w:rPr>
          <w:rFonts w:ascii="Times New Roman" w:hAnsi="Times New Roman"/>
          <w:sz w:val="24"/>
          <w:szCs w:val="24"/>
        </w:rPr>
        <w:t xml:space="preserve"> to rein in California’s housing prices in the long term. </w:t>
      </w:r>
    </w:p>
    <w:p w14:paraId="56AB6A46" w14:textId="0DAB7F52" w:rsidR="00030A59" w:rsidRDefault="004F455F" w:rsidP="005061DD">
      <w:pPr>
        <w:pStyle w:val="NoSpacing"/>
        <w:spacing w:after="100" w:afterAutospacing="1"/>
        <w:rPr>
          <w:rFonts w:ascii="Times New Roman" w:hAnsi="Times New Roman"/>
          <w:sz w:val="24"/>
        </w:rPr>
      </w:pPr>
      <w:r>
        <w:rPr>
          <w:rFonts w:ascii="Times New Roman" w:hAnsi="Times New Roman"/>
          <w:sz w:val="24"/>
        </w:rPr>
        <w:t xml:space="preserve">However, planning and approving new housing is mainly a local responsibility.  </w:t>
      </w:r>
      <w:r w:rsidR="005061DD" w:rsidRPr="005061DD">
        <w:rPr>
          <w:rFonts w:ascii="Times New Roman" w:hAnsi="Times New Roman"/>
          <w:sz w:val="24"/>
        </w:rPr>
        <w:t xml:space="preserve">The California Constitution allows </w:t>
      </w:r>
      <w:r w:rsidR="00C60F22">
        <w:rPr>
          <w:rFonts w:ascii="Times New Roman" w:hAnsi="Times New Roman"/>
          <w:sz w:val="24"/>
        </w:rPr>
        <w:t xml:space="preserve">cities and counties </w:t>
      </w:r>
      <w:r w:rsidR="005061DD" w:rsidRPr="005061DD">
        <w:rPr>
          <w:rFonts w:ascii="Times New Roman" w:hAnsi="Times New Roman"/>
          <w:sz w:val="24"/>
        </w:rPr>
        <w:t xml:space="preserve">to </w:t>
      </w:r>
      <w:r w:rsidR="00D64911">
        <w:rPr>
          <w:rFonts w:ascii="Times New Roman" w:hAnsi="Times New Roman"/>
          <w:sz w:val="24"/>
        </w:rPr>
        <w:t>“</w:t>
      </w:r>
      <w:r w:rsidR="005061DD" w:rsidRPr="005061DD">
        <w:rPr>
          <w:rFonts w:ascii="Times New Roman" w:hAnsi="Times New Roman"/>
          <w:sz w:val="24"/>
        </w:rPr>
        <w:t>make and enforce within its limits, all local, police, sanitary and other ordinances and regulations not</w:t>
      </w:r>
      <w:r w:rsidR="00D64911">
        <w:rPr>
          <w:rFonts w:ascii="Times New Roman" w:hAnsi="Times New Roman"/>
          <w:sz w:val="24"/>
        </w:rPr>
        <w:t xml:space="preserve"> in conflict with general laws.”</w:t>
      </w:r>
      <w:r w:rsidR="005061DD" w:rsidRPr="005061DD">
        <w:rPr>
          <w:rFonts w:ascii="Times New Roman" w:hAnsi="Times New Roman"/>
          <w:sz w:val="24"/>
        </w:rPr>
        <w:t xml:space="preserve">  It is from this fundamental power (commonly called the police power) that </w:t>
      </w:r>
      <w:r w:rsidR="00C60F22">
        <w:rPr>
          <w:rFonts w:ascii="Times New Roman" w:hAnsi="Times New Roman"/>
          <w:sz w:val="24"/>
        </w:rPr>
        <w:t>cities and counties</w:t>
      </w:r>
      <w:r w:rsidR="005061DD" w:rsidRPr="005061DD">
        <w:rPr>
          <w:rFonts w:ascii="Times New Roman" w:hAnsi="Times New Roman"/>
          <w:sz w:val="24"/>
        </w:rPr>
        <w:t xml:space="preserve"> derive their authority to regulate behavior to preserve the health, safety, and welfare of the public—including land use authority.  </w:t>
      </w:r>
    </w:p>
    <w:p w14:paraId="1AA5CB3C" w14:textId="602AE9F8" w:rsidR="005061DD" w:rsidRPr="005061DD" w:rsidRDefault="00030A59" w:rsidP="005061DD">
      <w:pPr>
        <w:pStyle w:val="NoSpacing"/>
        <w:spacing w:after="100" w:afterAutospacing="1"/>
        <w:rPr>
          <w:rFonts w:ascii="Times New Roman" w:hAnsi="Times New Roman"/>
          <w:sz w:val="24"/>
        </w:rPr>
      </w:pPr>
      <w:r>
        <w:rPr>
          <w:rFonts w:ascii="Times New Roman" w:hAnsi="Times New Roman"/>
          <w:b/>
          <w:i/>
          <w:sz w:val="24"/>
        </w:rPr>
        <w:t>General Plans Establish Allowable Intensity of Development.</w:t>
      </w:r>
      <w:r w:rsidR="00B82ECD">
        <w:rPr>
          <w:rFonts w:ascii="Times New Roman" w:hAnsi="Times New Roman"/>
          <w:b/>
          <w:i/>
          <w:sz w:val="24"/>
        </w:rPr>
        <w:t xml:space="preserve"> </w:t>
      </w:r>
      <w:r>
        <w:rPr>
          <w:rFonts w:ascii="Times New Roman" w:hAnsi="Times New Roman"/>
          <w:b/>
          <w:i/>
          <w:sz w:val="24"/>
        </w:rPr>
        <w:t xml:space="preserve"> </w:t>
      </w:r>
      <w:r w:rsidR="00D64911">
        <w:rPr>
          <w:rFonts w:ascii="Times New Roman" w:hAnsi="Times New Roman"/>
          <w:sz w:val="24"/>
        </w:rPr>
        <w:t xml:space="preserve">State law provides additional powers and duties for cities and counties regarding land use.  </w:t>
      </w:r>
      <w:r w:rsidR="005061DD" w:rsidRPr="005061DD">
        <w:rPr>
          <w:rFonts w:ascii="Times New Roman" w:hAnsi="Times New Roman"/>
          <w:sz w:val="24"/>
        </w:rPr>
        <w:t xml:space="preserve">The Planning and Zoning Law requires every county and city to adopt a general plan that sets out planned uses for all of the area covered by the plan.  A general plan must include </w:t>
      </w:r>
      <w:r w:rsidR="00787A59">
        <w:rPr>
          <w:rFonts w:ascii="Times New Roman" w:hAnsi="Times New Roman"/>
          <w:sz w:val="24"/>
        </w:rPr>
        <w:t xml:space="preserve">specified </w:t>
      </w:r>
      <w:r w:rsidR="005061DD" w:rsidRPr="005061DD">
        <w:rPr>
          <w:rFonts w:ascii="Times New Roman" w:hAnsi="Times New Roman"/>
          <w:sz w:val="24"/>
        </w:rPr>
        <w:t xml:space="preserve">mandatory </w:t>
      </w:r>
      <w:r w:rsidR="00787A59">
        <w:rPr>
          <w:rFonts w:ascii="Times New Roman" w:hAnsi="Times New Roman"/>
          <w:sz w:val="24"/>
        </w:rPr>
        <w:t>“</w:t>
      </w:r>
      <w:r w:rsidR="005061DD" w:rsidRPr="005061DD">
        <w:rPr>
          <w:rFonts w:ascii="Times New Roman" w:hAnsi="Times New Roman"/>
          <w:sz w:val="24"/>
        </w:rPr>
        <w:t>elements,</w:t>
      </w:r>
      <w:r w:rsidR="00787A59">
        <w:rPr>
          <w:rFonts w:ascii="Times New Roman" w:hAnsi="Times New Roman"/>
          <w:sz w:val="24"/>
        </w:rPr>
        <w:t>”</w:t>
      </w:r>
      <w:r w:rsidR="005061DD" w:rsidRPr="005061DD">
        <w:rPr>
          <w:rFonts w:ascii="Times New Roman" w:hAnsi="Times New Roman"/>
          <w:sz w:val="24"/>
        </w:rPr>
        <w:t xml:space="preserve"> including a housing element that establishes the locations and densities of housing, among other requirements.  </w:t>
      </w:r>
      <w:proofErr w:type="gramStart"/>
      <w:r w:rsidR="005061DD" w:rsidRPr="005061DD">
        <w:rPr>
          <w:rFonts w:ascii="Times New Roman" w:hAnsi="Times New Roman"/>
          <w:sz w:val="24"/>
        </w:rPr>
        <w:t>Cities’</w:t>
      </w:r>
      <w:proofErr w:type="gramEnd"/>
      <w:r w:rsidR="005061DD" w:rsidRPr="005061DD">
        <w:rPr>
          <w:rFonts w:ascii="Times New Roman" w:hAnsi="Times New Roman"/>
          <w:sz w:val="24"/>
        </w:rPr>
        <w:t xml:space="preserve"> and counties’ major land use decisions—including most zoning ordinances and other aspects of development permitting—must be consistent with their general plans.  The Planning and Zoning Law also establishes a planning agency in each city and county, which may be a separate planning commission, administrative body, or the legislative body of the city or county itself.  Cities and counties </w:t>
      </w:r>
      <w:r w:rsidR="00095B5A">
        <w:rPr>
          <w:rFonts w:ascii="Times New Roman" w:hAnsi="Times New Roman"/>
          <w:sz w:val="24"/>
        </w:rPr>
        <w:t>must provide a path to appeal a decision to the planning commission and/or the city council or county board of supervisors.</w:t>
      </w:r>
    </w:p>
    <w:p w14:paraId="27C188B6" w14:textId="77777777" w:rsidR="00CD2EB6" w:rsidRDefault="00D64911" w:rsidP="00970DE6">
      <w:pPr>
        <w:pStyle w:val="NoSpacing"/>
        <w:spacing w:after="100" w:afterAutospacing="1"/>
        <w:rPr>
          <w:rFonts w:ascii="Times New Roman" w:hAnsi="Times New Roman"/>
          <w:sz w:val="24"/>
        </w:rPr>
      </w:pPr>
      <w:r>
        <w:rPr>
          <w:rFonts w:ascii="Times New Roman" w:hAnsi="Times New Roman"/>
          <w:b/>
          <w:i/>
          <w:sz w:val="24"/>
        </w:rPr>
        <w:t>Zoning Ordinances More Precisely Shape Development.</w:t>
      </w:r>
      <w:r w:rsidR="00B82ECD">
        <w:rPr>
          <w:rFonts w:ascii="Times New Roman" w:hAnsi="Times New Roman"/>
          <w:b/>
          <w:i/>
          <w:sz w:val="24"/>
        </w:rPr>
        <w:t xml:space="preserve"> </w:t>
      </w:r>
      <w:r>
        <w:rPr>
          <w:rFonts w:ascii="Times New Roman" w:hAnsi="Times New Roman"/>
          <w:b/>
          <w:i/>
          <w:sz w:val="24"/>
        </w:rPr>
        <w:t xml:space="preserve"> </w:t>
      </w:r>
      <w:r w:rsidR="005061DD" w:rsidRPr="005061DD">
        <w:rPr>
          <w:rFonts w:ascii="Times New Roman" w:hAnsi="Times New Roman"/>
          <w:sz w:val="24"/>
        </w:rPr>
        <w:t xml:space="preserve">Local governments use their police power to enact zoning ordinances that shape development, </w:t>
      </w:r>
      <w:r w:rsidR="005E3A5E">
        <w:rPr>
          <w:rFonts w:ascii="Times New Roman" w:hAnsi="Times New Roman"/>
          <w:sz w:val="24"/>
        </w:rPr>
        <w:t xml:space="preserve">such as </w:t>
      </w:r>
      <w:r w:rsidR="005061DD" w:rsidRPr="005061DD">
        <w:rPr>
          <w:rFonts w:ascii="Times New Roman" w:hAnsi="Times New Roman"/>
          <w:sz w:val="24"/>
        </w:rPr>
        <w:t xml:space="preserve">setting maximum </w:t>
      </w:r>
      <w:r w:rsidR="0076524F">
        <w:rPr>
          <w:rFonts w:ascii="Times New Roman" w:hAnsi="Times New Roman"/>
          <w:sz w:val="24"/>
        </w:rPr>
        <w:t xml:space="preserve">heights and </w:t>
      </w:r>
      <w:r w:rsidR="005061DD" w:rsidRPr="005061DD">
        <w:rPr>
          <w:rFonts w:ascii="Times New Roman" w:hAnsi="Times New Roman"/>
          <w:sz w:val="24"/>
        </w:rPr>
        <w:t>densities for housing units, minimum numbers of required parking spaces, setbacks to preserve privacy</w:t>
      </w:r>
      <w:r w:rsidR="0076524F">
        <w:rPr>
          <w:rFonts w:ascii="Times New Roman" w:hAnsi="Times New Roman"/>
          <w:sz w:val="24"/>
        </w:rPr>
        <w:t>, lot coverage ratios to increase open space, and others</w:t>
      </w:r>
      <w:r w:rsidR="005061DD" w:rsidRPr="005061DD">
        <w:rPr>
          <w:rFonts w:ascii="Times New Roman" w:hAnsi="Times New Roman"/>
          <w:sz w:val="24"/>
        </w:rPr>
        <w:t xml:space="preserve">.  These ordinances can also include conditions on development to address aesthetics, community impacts, or other particular site-specific considerations.  </w:t>
      </w:r>
    </w:p>
    <w:p w14:paraId="484BB33A" w14:textId="22C0455F" w:rsidR="008232B5" w:rsidRDefault="005E3A5E" w:rsidP="00970DE6">
      <w:pPr>
        <w:pStyle w:val="NoSpacing"/>
        <w:spacing w:after="100" w:afterAutospacing="1"/>
        <w:rPr>
          <w:rFonts w:ascii="Times New Roman" w:hAnsi="Times New Roman"/>
          <w:sz w:val="24"/>
        </w:rPr>
      </w:pPr>
      <w:r>
        <w:rPr>
          <w:rFonts w:ascii="Times New Roman" w:hAnsi="Times New Roman"/>
          <w:sz w:val="24"/>
        </w:rPr>
        <w:t>Local governments have broad authority to define the specific approval processes needed to satisfy these considerations.</w:t>
      </w:r>
      <w:r w:rsidR="00CD2EB6">
        <w:rPr>
          <w:rFonts w:ascii="Times New Roman" w:hAnsi="Times New Roman"/>
          <w:sz w:val="24"/>
        </w:rPr>
        <w:t xml:space="preserve">  </w:t>
      </w:r>
      <w:r w:rsidR="005061DD" w:rsidRPr="005061DD">
        <w:rPr>
          <w:rFonts w:ascii="Times New Roman" w:hAnsi="Times New Roman"/>
          <w:sz w:val="24"/>
        </w:rPr>
        <w:t xml:space="preserve">Some housing projects </w:t>
      </w:r>
      <w:proofErr w:type="gramStart"/>
      <w:r w:rsidR="005061DD" w:rsidRPr="005061DD">
        <w:rPr>
          <w:rFonts w:ascii="Times New Roman" w:hAnsi="Times New Roman"/>
          <w:sz w:val="24"/>
        </w:rPr>
        <w:t>can be permitted</w:t>
      </w:r>
      <w:proofErr w:type="gramEnd"/>
      <w:r w:rsidR="005061DD" w:rsidRPr="005061DD">
        <w:rPr>
          <w:rFonts w:ascii="Times New Roman" w:hAnsi="Times New Roman"/>
          <w:sz w:val="24"/>
        </w:rPr>
        <w:t xml:space="preserve"> by city or county planning staff </w:t>
      </w:r>
      <w:r w:rsidR="005061DD">
        <w:rPr>
          <w:rFonts w:ascii="Times New Roman" w:hAnsi="Times New Roman"/>
          <w:sz w:val="24"/>
        </w:rPr>
        <w:t>“</w:t>
      </w:r>
      <w:proofErr w:type="spellStart"/>
      <w:r w:rsidR="005061DD" w:rsidRPr="005061DD">
        <w:rPr>
          <w:rFonts w:ascii="Times New Roman" w:hAnsi="Times New Roman"/>
          <w:sz w:val="24"/>
        </w:rPr>
        <w:t>ministerially</w:t>
      </w:r>
      <w:proofErr w:type="spellEnd"/>
      <w:r w:rsidR="005061DD">
        <w:rPr>
          <w:rFonts w:ascii="Times New Roman" w:hAnsi="Times New Roman"/>
          <w:sz w:val="24"/>
        </w:rPr>
        <w:t>”</w:t>
      </w:r>
      <w:r w:rsidR="005061DD" w:rsidRPr="005061DD">
        <w:rPr>
          <w:rFonts w:ascii="Times New Roman" w:hAnsi="Times New Roman"/>
          <w:sz w:val="24"/>
        </w:rPr>
        <w:t xml:space="preserve"> or without further approval from elected officials</w:t>
      </w:r>
      <w:r w:rsidR="00030A59">
        <w:rPr>
          <w:rFonts w:ascii="Times New Roman" w:hAnsi="Times New Roman"/>
          <w:sz w:val="24"/>
        </w:rPr>
        <w:t>, but most</w:t>
      </w:r>
      <w:r w:rsidR="005061DD" w:rsidRPr="005061DD">
        <w:rPr>
          <w:rFonts w:ascii="Times New Roman" w:hAnsi="Times New Roman"/>
          <w:sz w:val="24"/>
        </w:rPr>
        <w:t xml:space="preserve"> large housing projects </w:t>
      </w:r>
      <w:r w:rsidR="00030A59">
        <w:rPr>
          <w:rFonts w:ascii="Times New Roman" w:hAnsi="Times New Roman"/>
          <w:sz w:val="24"/>
        </w:rPr>
        <w:t>require “discretionary” approvals from local governments, such as a conditional use permit or a change in zoning laws.</w:t>
      </w:r>
      <w:r w:rsidR="005F4C82" w:rsidRPr="005061DD">
        <w:rPr>
          <w:rFonts w:ascii="Times New Roman" w:hAnsi="Times New Roman"/>
          <w:sz w:val="24"/>
        </w:rPr>
        <w:t xml:space="preserve">  </w:t>
      </w:r>
      <w:r w:rsidR="005F4C82">
        <w:rPr>
          <w:rFonts w:ascii="Times New Roman" w:hAnsi="Times New Roman"/>
          <w:sz w:val="24"/>
        </w:rPr>
        <w:t>This process</w:t>
      </w:r>
      <w:r w:rsidR="005F4C82" w:rsidRPr="005061DD">
        <w:rPr>
          <w:rFonts w:ascii="Times New Roman" w:hAnsi="Times New Roman"/>
          <w:sz w:val="24"/>
        </w:rPr>
        <w:t xml:space="preserve"> require</w:t>
      </w:r>
      <w:r w:rsidR="00E92C84">
        <w:rPr>
          <w:rFonts w:ascii="Times New Roman" w:hAnsi="Times New Roman"/>
          <w:sz w:val="24"/>
        </w:rPr>
        <w:t>s</w:t>
      </w:r>
      <w:r w:rsidR="005F4C82" w:rsidRPr="005061DD">
        <w:rPr>
          <w:rFonts w:ascii="Times New Roman" w:hAnsi="Times New Roman"/>
          <w:sz w:val="24"/>
        </w:rPr>
        <w:t xml:space="preserve"> hearings by the local </w:t>
      </w:r>
      <w:r w:rsidR="00095B5A">
        <w:rPr>
          <w:rFonts w:ascii="Times New Roman" w:hAnsi="Times New Roman"/>
          <w:sz w:val="24"/>
        </w:rPr>
        <w:t>planning commission</w:t>
      </w:r>
      <w:r w:rsidR="005F4C82" w:rsidRPr="005061DD">
        <w:rPr>
          <w:rFonts w:ascii="Times New Roman" w:hAnsi="Times New Roman"/>
          <w:sz w:val="24"/>
        </w:rPr>
        <w:t xml:space="preserve"> and public notice</w:t>
      </w:r>
      <w:r w:rsidR="005F4C82">
        <w:rPr>
          <w:rFonts w:ascii="Times New Roman" w:hAnsi="Times New Roman"/>
          <w:sz w:val="24"/>
        </w:rPr>
        <w:t xml:space="preserve"> and may require additional approvals</w:t>
      </w:r>
      <w:r w:rsidR="005F4C82" w:rsidRPr="005061DD">
        <w:rPr>
          <w:rFonts w:ascii="Times New Roman" w:hAnsi="Times New Roman"/>
          <w:sz w:val="24"/>
        </w:rPr>
        <w:t>.</w:t>
      </w:r>
      <w:r w:rsidR="00970DE6">
        <w:rPr>
          <w:rFonts w:ascii="Times New Roman" w:hAnsi="Times New Roman"/>
          <w:sz w:val="24"/>
        </w:rPr>
        <w:t xml:space="preserve">  Still other projects may be permitted under a development agreement, which is a contract </w:t>
      </w:r>
      <w:r w:rsidR="008232B5" w:rsidRPr="008232B5">
        <w:rPr>
          <w:rFonts w:ascii="Times New Roman" w:hAnsi="Times New Roman"/>
          <w:sz w:val="24"/>
        </w:rPr>
        <w:t xml:space="preserve">negotiated between </w:t>
      </w:r>
      <w:r w:rsidR="00970DE6">
        <w:rPr>
          <w:rFonts w:ascii="Times New Roman" w:hAnsi="Times New Roman"/>
          <w:sz w:val="24"/>
        </w:rPr>
        <w:t>a project proponent and a city or county.  A development agreement</w:t>
      </w:r>
      <w:r w:rsidR="008232B5" w:rsidRPr="008232B5">
        <w:rPr>
          <w:rFonts w:ascii="Times New Roman" w:hAnsi="Times New Roman"/>
          <w:sz w:val="24"/>
        </w:rPr>
        <w:t xml:space="preserve"> govern</w:t>
      </w:r>
      <w:r w:rsidR="00970DE6">
        <w:rPr>
          <w:rFonts w:ascii="Times New Roman" w:hAnsi="Times New Roman"/>
          <w:sz w:val="24"/>
        </w:rPr>
        <w:t>s</w:t>
      </w:r>
      <w:r w:rsidR="008232B5" w:rsidRPr="008232B5">
        <w:rPr>
          <w:rFonts w:ascii="Times New Roman" w:hAnsi="Times New Roman"/>
          <w:sz w:val="24"/>
        </w:rPr>
        <w:t xml:space="preserve"> the land uses that </w:t>
      </w:r>
      <w:r w:rsidR="00411464">
        <w:rPr>
          <w:rFonts w:ascii="Times New Roman" w:hAnsi="Times New Roman"/>
          <w:sz w:val="24"/>
        </w:rPr>
        <w:t xml:space="preserve">a city or county </w:t>
      </w:r>
      <w:r w:rsidR="008232B5" w:rsidRPr="008232B5">
        <w:rPr>
          <w:rFonts w:ascii="Times New Roman" w:hAnsi="Times New Roman"/>
          <w:sz w:val="24"/>
        </w:rPr>
        <w:t xml:space="preserve">may allow in a particular project, as well as the fees and procedures that </w:t>
      </w:r>
      <w:r w:rsidR="0076524F">
        <w:rPr>
          <w:rFonts w:ascii="Times New Roman" w:hAnsi="Times New Roman"/>
          <w:sz w:val="24"/>
        </w:rPr>
        <w:t>apply to</w:t>
      </w:r>
      <w:r w:rsidR="008232B5" w:rsidRPr="008232B5">
        <w:rPr>
          <w:rFonts w:ascii="Times New Roman" w:hAnsi="Times New Roman"/>
          <w:sz w:val="24"/>
        </w:rPr>
        <w:t xml:space="preserve"> the </w:t>
      </w:r>
      <w:r w:rsidR="008232B5" w:rsidRPr="008232B5">
        <w:rPr>
          <w:rFonts w:ascii="Times New Roman" w:hAnsi="Times New Roman"/>
          <w:sz w:val="24"/>
        </w:rPr>
        <w:lastRenderedPageBreak/>
        <w:t>approval.  Neither the applicant nor the public agency is required to enter into a development agreement</w:t>
      </w:r>
      <w:r w:rsidR="00030A59">
        <w:rPr>
          <w:rFonts w:ascii="Times New Roman" w:hAnsi="Times New Roman"/>
          <w:sz w:val="24"/>
        </w:rPr>
        <w:t>; it acts as an alternative to the traditional approval process</w:t>
      </w:r>
      <w:r w:rsidR="008232B5" w:rsidRPr="008232B5">
        <w:rPr>
          <w:rFonts w:ascii="Times New Roman" w:hAnsi="Times New Roman"/>
          <w:sz w:val="24"/>
        </w:rPr>
        <w:t xml:space="preserve">.  </w:t>
      </w:r>
    </w:p>
    <w:p w14:paraId="6E89AA1E" w14:textId="2CA2E113" w:rsidR="00E77E77" w:rsidRPr="00E77E77" w:rsidRDefault="00E77E77" w:rsidP="00ED2398">
      <w:pPr>
        <w:pStyle w:val="NoSpacing"/>
        <w:spacing w:after="100" w:afterAutospacing="1"/>
        <w:rPr>
          <w:rFonts w:ascii="Times New Roman" w:hAnsi="Times New Roman"/>
          <w:sz w:val="24"/>
        </w:rPr>
      </w:pPr>
      <w:r>
        <w:rPr>
          <w:rFonts w:ascii="Times New Roman" w:hAnsi="Times New Roman"/>
          <w:b/>
          <w:i/>
          <w:sz w:val="24"/>
        </w:rPr>
        <w:t>Developer Fees.</w:t>
      </w:r>
      <w:r w:rsidRPr="00E77E77">
        <w:rPr>
          <w:rFonts w:ascii="Times New Roman" w:hAnsi="Times New Roman"/>
        </w:rPr>
        <w:t xml:space="preserve"> </w:t>
      </w:r>
      <w:r w:rsidRPr="00E77E77">
        <w:rPr>
          <w:rFonts w:ascii="Times New Roman" w:hAnsi="Times New Roman"/>
          <w:sz w:val="24"/>
        </w:rPr>
        <w:t>When approving development projects, counties and cities can require the applicants to mitigate the project's effects by paying fees.  The California courts have upheld these mitigation fees for sidewalks, parks, school construction, and many other public purposes.</w:t>
      </w:r>
      <w:r w:rsidR="00347E32">
        <w:rPr>
          <w:rFonts w:ascii="Times New Roman" w:hAnsi="Times New Roman"/>
          <w:sz w:val="24"/>
        </w:rPr>
        <w:t xml:space="preserve">  </w:t>
      </w:r>
      <w:r w:rsidRPr="00E77E77">
        <w:rPr>
          <w:rFonts w:ascii="Times New Roman" w:hAnsi="Times New Roman"/>
          <w:sz w:val="24"/>
        </w:rPr>
        <w:t xml:space="preserve">When imposing a fee as a condition of approving a development project, local officials </w:t>
      </w:r>
      <w:r w:rsidR="00ED2398">
        <w:rPr>
          <w:rFonts w:ascii="Times New Roman" w:hAnsi="Times New Roman"/>
          <w:sz w:val="24"/>
        </w:rPr>
        <w:t xml:space="preserve">must </w:t>
      </w:r>
      <w:r w:rsidR="00ED2398" w:rsidRPr="00E77E77">
        <w:rPr>
          <w:rFonts w:ascii="Times New Roman" w:hAnsi="Times New Roman"/>
          <w:sz w:val="24"/>
        </w:rPr>
        <w:t>determine</w:t>
      </w:r>
      <w:r w:rsidRPr="00E77E77">
        <w:rPr>
          <w:rFonts w:ascii="Times New Roman" w:hAnsi="Times New Roman"/>
          <w:sz w:val="24"/>
        </w:rPr>
        <w:t xml:space="preserve"> a reasonable relationship between the fee's amount and the cost of the public facility.  </w:t>
      </w:r>
    </w:p>
    <w:p w14:paraId="260453BD" w14:textId="1A5451C6" w:rsidR="005061DD" w:rsidRPr="003929FE" w:rsidRDefault="005E3A5E" w:rsidP="005061DD">
      <w:pPr>
        <w:rPr>
          <w:rFonts w:ascii="Times New Roman" w:hAnsi="Times New Roman"/>
          <w:sz w:val="24"/>
        </w:rPr>
      </w:pPr>
      <w:r>
        <w:rPr>
          <w:rFonts w:ascii="Times New Roman" w:hAnsi="Times New Roman"/>
          <w:b/>
          <w:i/>
          <w:sz w:val="24"/>
        </w:rPr>
        <w:t xml:space="preserve">State </w:t>
      </w:r>
      <w:r w:rsidR="008232B5">
        <w:rPr>
          <w:rFonts w:ascii="Times New Roman" w:hAnsi="Times New Roman"/>
          <w:b/>
          <w:i/>
          <w:sz w:val="24"/>
        </w:rPr>
        <w:t>Housing Law.</w:t>
      </w:r>
      <w:r w:rsidR="008232B5">
        <w:rPr>
          <w:rFonts w:ascii="Times New Roman" w:hAnsi="Times New Roman"/>
          <w:sz w:val="24"/>
        </w:rPr>
        <w:t xml:space="preserve">  </w:t>
      </w:r>
      <w:r w:rsidR="008232B5" w:rsidRPr="003929FE">
        <w:rPr>
          <w:rFonts w:ascii="Times New Roman" w:hAnsi="Times New Roman"/>
          <w:sz w:val="24"/>
        </w:rPr>
        <w:t xml:space="preserve">State housing law requires local governments to plan for future housing needs.  </w:t>
      </w:r>
      <w:r w:rsidR="005061DD" w:rsidRPr="003929FE">
        <w:rPr>
          <w:rFonts w:ascii="Times New Roman" w:hAnsi="Times New Roman"/>
          <w:sz w:val="24"/>
        </w:rPr>
        <w:t xml:space="preserve">A city or county’s housing element must identify adequate sites for housing at all income levels—very low, low, moderate, and above moderate income—and must include rental housing, factory-built housing, mobile homes, and emergency shelters.  Each local jurisdiction must also ensure that its housing element makes enough sites available to accommodate its share of the regional housing need assessment (RHNA), which is an estimate </w:t>
      </w:r>
      <w:r w:rsidR="003A21D0" w:rsidRPr="003929FE">
        <w:rPr>
          <w:rFonts w:ascii="Times New Roman" w:hAnsi="Times New Roman"/>
          <w:sz w:val="24"/>
        </w:rPr>
        <w:t xml:space="preserve">of housing needs </w:t>
      </w:r>
      <w:r w:rsidR="005061DD" w:rsidRPr="003929FE">
        <w:rPr>
          <w:rFonts w:ascii="Times New Roman" w:hAnsi="Times New Roman"/>
          <w:sz w:val="24"/>
        </w:rPr>
        <w:t xml:space="preserve">for various regions in the state that </w:t>
      </w:r>
      <w:proofErr w:type="gramStart"/>
      <w:r w:rsidR="005061DD" w:rsidRPr="003929FE">
        <w:rPr>
          <w:rFonts w:ascii="Times New Roman" w:hAnsi="Times New Roman"/>
          <w:sz w:val="24"/>
        </w:rPr>
        <w:t>is developed</w:t>
      </w:r>
      <w:proofErr w:type="gramEnd"/>
      <w:r w:rsidR="005061DD" w:rsidRPr="003929FE">
        <w:rPr>
          <w:rFonts w:ascii="Times New Roman" w:hAnsi="Times New Roman"/>
          <w:sz w:val="24"/>
        </w:rPr>
        <w:t xml:space="preserve"> by the Department of Finance and the Department of Housing </w:t>
      </w:r>
      <w:r w:rsidR="00053456" w:rsidRPr="003929FE">
        <w:rPr>
          <w:rFonts w:ascii="Times New Roman" w:hAnsi="Times New Roman"/>
          <w:sz w:val="24"/>
        </w:rPr>
        <w:t xml:space="preserve">and Community Development (HCD).  Then councils of government (COGs) allocate housing within each region based on these estimates to </w:t>
      </w:r>
      <w:r w:rsidR="005061DD" w:rsidRPr="003929FE">
        <w:rPr>
          <w:rFonts w:ascii="Times New Roman" w:hAnsi="Times New Roman"/>
          <w:sz w:val="24"/>
        </w:rPr>
        <w:t xml:space="preserve">individual local jurisdictions. </w:t>
      </w:r>
      <w:r w:rsidR="004B6270" w:rsidRPr="003929FE">
        <w:rPr>
          <w:rFonts w:ascii="Times New Roman" w:hAnsi="Times New Roman"/>
          <w:sz w:val="24"/>
        </w:rPr>
        <w:t>Local governments must generally update their general plan every eight years and identify an adequate number of sites through its entire planning period.</w:t>
      </w:r>
      <w:r w:rsidR="005061DD" w:rsidRPr="003929FE">
        <w:rPr>
          <w:rFonts w:ascii="Times New Roman" w:hAnsi="Times New Roman"/>
          <w:sz w:val="24"/>
        </w:rPr>
        <w:t xml:space="preserve">  Every city and county must submit a report to HCD and the Office of Planning and Research annually on its implementation and progress towards meeting its RHNA amount and removing governmental obstacles to housing development.</w:t>
      </w:r>
    </w:p>
    <w:p w14:paraId="3C6F8194" w14:textId="303435DF" w:rsidR="00F718FA" w:rsidRDefault="008232B5" w:rsidP="006B1100">
      <w:pPr>
        <w:tabs>
          <w:tab w:val="left" w:pos="6120"/>
        </w:tabs>
        <w:rPr>
          <w:rFonts w:ascii="Times New Roman" w:hAnsi="Times New Roman"/>
          <w:b/>
          <w:sz w:val="28"/>
          <w:szCs w:val="24"/>
        </w:rPr>
      </w:pPr>
      <w:r>
        <w:rPr>
          <w:rFonts w:ascii="Times New Roman" w:hAnsi="Times New Roman"/>
          <w:b/>
          <w:sz w:val="28"/>
          <w:szCs w:val="24"/>
        </w:rPr>
        <w:t>Barriers to Housing Development</w:t>
      </w:r>
    </w:p>
    <w:p w14:paraId="6A887FFC" w14:textId="225DB011" w:rsidR="005F4C82" w:rsidRDefault="008232B5" w:rsidP="008232B5">
      <w:pPr>
        <w:tabs>
          <w:tab w:val="left" w:pos="6120"/>
        </w:tabs>
        <w:rPr>
          <w:rFonts w:ascii="Times New Roman" w:hAnsi="Times New Roman"/>
          <w:sz w:val="24"/>
          <w:szCs w:val="24"/>
        </w:rPr>
      </w:pPr>
      <w:r w:rsidRPr="00A10D9A">
        <w:rPr>
          <w:rFonts w:ascii="Times New Roman" w:hAnsi="Times New Roman"/>
          <w:sz w:val="24"/>
          <w:szCs w:val="24"/>
        </w:rPr>
        <w:t>A variety of causes have contributed to the lack of housing production</w:t>
      </w:r>
      <w:r w:rsidR="005F4C82">
        <w:rPr>
          <w:rFonts w:ascii="Times New Roman" w:hAnsi="Times New Roman"/>
          <w:sz w:val="24"/>
          <w:szCs w:val="24"/>
        </w:rPr>
        <w:t>, including</w:t>
      </w:r>
      <w:r w:rsidR="008E6B87">
        <w:rPr>
          <w:rFonts w:ascii="Times New Roman" w:hAnsi="Times New Roman"/>
          <w:sz w:val="24"/>
          <w:szCs w:val="24"/>
        </w:rPr>
        <w:t xml:space="preserve"> restrictive zoning ordinances,</w:t>
      </w:r>
      <w:r w:rsidR="005F4C82">
        <w:rPr>
          <w:rFonts w:ascii="Times New Roman" w:hAnsi="Times New Roman"/>
          <w:sz w:val="24"/>
          <w:szCs w:val="24"/>
        </w:rPr>
        <w:t xml:space="preserve"> local</w:t>
      </w:r>
      <w:r w:rsidR="00970DE6">
        <w:rPr>
          <w:rFonts w:ascii="Times New Roman" w:hAnsi="Times New Roman"/>
          <w:sz w:val="24"/>
          <w:szCs w:val="24"/>
        </w:rPr>
        <w:t xml:space="preserve"> </w:t>
      </w:r>
      <w:r w:rsidR="008E6B87">
        <w:rPr>
          <w:rFonts w:ascii="Times New Roman" w:hAnsi="Times New Roman"/>
          <w:sz w:val="24"/>
          <w:szCs w:val="24"/>
        </w:rPr>
        <w:t>permitting</w:t>
      </w:r>
      <w:r w:rsidR="005F4C82">
        <w:rPr>
          <w:rFonts w:ascii="Times New Roman" w:hAnsi="Times New Roman"/>
          <w:sz w:val="24"/>
          <w:szCs w:val="24"/>
        </w:rPr>
        <w:t xml:space="preserve"> processes</w:t>
      </w:r>
      <w:r w:rsidR="00970DE6">
        <w:rPr>
          <w:rFonts w:ascii="Times New Roman" w:hAnsi="Times New Roman"/>
          <w:sz w:val="24"/>
          <w:szCs w:val="24"/>
        </w:rPr>
        <w:t xml:space="preserve"> that provide multiple avenues to stop a project, </w:t>
      </w:r>
      <w:r w:rsidR="008E6B87">
        <w:rPr>
          <w:rFonts w:ascii="Times New Roman" w:hAnsi="Times New Roman"/>
          <w:sz w:val="24"/>
          <w:szCs w:val="24"/>
        </w:rPr>
        <w:t xml:space="preserve">and </w:t>
      </w:r>
      <w:r w:rsidR="00970DE6">
        <w:rPr>
          <w:rFonts w:ascii="Times New Roman" w:hAnsi="Times New Roman"/>
          <w:sz w:val="24"/>
          <w:szCs w:val="24"/>
        </w:rPr>
        <w:t>fiscal incentives associated with development decisions.</w:t>
      </w:r>
      <w:r w:rsidR="008E6B87" w:rsidRPr="008E6B87">
        <w:rPr>
          <w:rFonts w:ascii="Times New Roman" w:hAnsi="Times New Roman"/>
          <w:sz w:val="24"/>
          <w:szCs w:val="24"/>
        </w:rPr>
        <w:t xml:space="preserve"> </w:t>
      </w:r>
      <w:r w:rsidR="008E6B87">
        <w:rPr>
          <w:rFonts w:ascii="Times New Roman" w:hAnsi="Times New Roman"/>
          <w:sz w:val="24"/>
          <w:szCs w:val="24"/>
        </w:rPr>
        <w:t xml:space="preserve">These issues pose challenges to constructing market-rate and affordable housing developments alike.  </w:t>
      </w:r>
    </w:p>
    <w:p w14:paraId="7F2746B6" w14:textId="46FE6699" w:rsidR="00C60F22" w:rsidRPr="00A90647" w:rsidRDefault="008E6B87" w:rsidP="00A90647">
      <w:pPr>
        <w:tabs>
          <w:tab w:val="left" w:pos="6120"/>
        </w:tabs>
        <w:rPr>
          <w:rFonts w:ascii="Times New Roman" w:hAnsi="Times New Roman"/>
          <w:sz w:val="24"/>
          <w:szCs w:val="24"/>
        </w:rPr>
      </w:pPr>
      <w:r>
        <w:rPr>
          <w:rFonts w:ascii="Times New Roman" w:hAnsi="Times New Roman"/>
          <w:b/>
          <w:i/>
          <w:sz w:val="24"/>
          <w:szCs w:val="24"/>
        </w:rPr>
        <w:t>Restrictive Zoning</w:t>
      </w:r>
      <w:r w:rsidR="00E068E5">
        <w:rPr>
          <w:rFonts w:ascii="Times New Roman" w:hAnsi="Times New Roman"/>
          <w:b/>
          <w:i/>
          <w:sz w:val="24"/>
          <w:szCs w:val="24"/>
        </w:rPr>
        <w:t xml:space="preserve"> </w:t>
      </w:r>
      <w:r w:rsidR="00030A59">
        <w:rPr>
          <w:rFonts w:ascii="Times New Roman" w:hAnsi="Times New Roman"/>
          <w:b/>
          <w:i/>
          <w:sz w:val="24"/>
          <w:szCs w:val="24"/>
        </w:rPr>
        <w:t>Limit</w:t>
      </w:r>
      <w:r w:rsidR="00D37468">
        <w:rPr>
          <w:rFonts w:ascii="Times New Roman" w:hAnsi="Times New Roman"/>
          <w:b/>
          <w:i/>
          <w:sz w:val="24"/>
          <w:szCs w:val="24"/>
        </w:rPr>
        <w:t>s</w:t>
      </w:r>
      <w:r w:rsidR="00030A59">
        <w:rPr>
          <w:rFonts w:ascii="Times New Roman" w:hAnsi="Times New Roman"/>
          <w:b/>
          <w:i/>
          <w:sz w:val="24"/>
          <w:szCs w:val="24"/>
        </w:rPr>
        <w:t xml:space="preserve"> Housing Density.</w:t>
      </w:r>
      <w:r>
        <w:rPr>
          <w:rFonts w:ascii="Times New Roman" w:hAnsi="Times New Roman"/>
          <w:sz w:val="24"/>
          <w:szCs w:val="24"/>
        </w:rPr>
        <w:t xml:space="preserve"> </w:t>
      </w:r>
      <w:proofErr w:type="gramStart"/>
      <w:r w:rsidR="003877DB">
        <w:rPr>
          <w:rFonts w:ascii="Times New Roman" w:hAnsi="Times New Roman"/>
          <w:sz w:val="24"/>
          <w:szCs w:val="24"/>
        </w:rPr>
        <w:t>California’s</w:t>
      </w:r>
      <w:proofErr w:type="gramEnd"/>
      <w:r w:rsidR="003877DB">
        <w:rPr>
          <w:rFonts w:ascii="Times New Roman" w:hAnsi="Times New Roman"/>
          <w:sz w:val="24"/>
          <w:szCs w:val="24"/>
        </w:rPr>
        <w:t xml:space="preserve"> high—and rising—land costs necessitate dense housing construction for a project to be financially viable</w:t>
      </w:r>
      <w:r w:rsidR="00E07670">
        <w:rPr>
          <w:rFonts w:ascii="Times New Roman" w:hAnsi="Times New Roman"/>
          <w:sz w:val="24"/>
          <w:szCs w:val="24"/>
        </w:rPr>
        <w:t xml:space="preserve"> and for the housing to ultimately be affordable to lower-income households</w:t>
      </w:r>
      <w:r w:rsidR="003877DB">
        <w:rPr>
          <w:rFonts w:ascii="Times New Roman" w:hAnsi="Times New Roman"/>
          <w:sz w:val="24"/>
          <w:szCs w:val="24"/>
        </w:rPr>
        <w:t>.  Yet, r</w:t>
      </w:r>
      <w:r w:rsidR="00A90647">
        <w:rPr>
          <w:rFonts w:ascii="Times New Roman" w:hAnsi="Times New Roman"/>
          <w:sz w:val="24"/>
          <w:szCs w:val="24"/>
        </w:rPr>
        <w:t xml:space="preserve">ecent trends in California show </w:t>
      </w:r>
      <w:r w:rsidR="003877DB">
        <w:rPr>
          <w:rFonts w:ascii="Times New Roman" w:hAnsi="Times New Roman"/>
          <w:sz w:val="24"/>
          <w:szCs w:val="24"/>
        </w:rPr>
        <w:t>that new housing has not commensurately increased in density</w:t>
      </w:r>
      <w:r w:rsidR="00A90647">
        <w:rPr>
          <w:rFonts w:ascii="Times New Roman" w:hAnsi="Times New Roman"/>
          <w:sz w:val="24"/>
          <w:szCs w:val="24"/>
        </w:rPr>
        <w:t xml:space="preserve">.  </w:t>
      </w:r>
      <w:r w:rsidR="00C60F22" w:rsidRPr="00A90647">
        <w:rPr>
          <w:rFonts w:ascii="Times New Roman" w:hAnsi="Times New Roman"/>
          <w:sz w:val="24"/>
          <w:szCs w:val="24"/>
        </w:rPr>
        <w:t xml:space="preserve">In a 2016 </w:t>
      </w:r>
      <w:r w:rsidR="003877DB">
        <w:rPr>
          <w:rFonts w:ascii="Times New Roman" w:hAnsi="Times New Roman"/>
          <w:sz w:val="24"/>
          <w:szCs w:val="24"/>
        </w:rPr>
        <w:t xml:space="preserve">analysis, </w:t>
      </w:r>
      <w:r w:rsidR="00F261A5">
        <w:rPr>
          <w:rFonts w:ascii="Times New Roman" w:hAnsi="Times New Roman"/>
          <w:sz w:val="24"/>
          <w:szCs w:val="24"/>
        </w:rPr>
        <w:t>the Legislative Analyst’s Office (</w:t>
      </w:r>
      <w:r w:rsidR="003877DB">
        <w:rPr>
          <w:rFonts w:ascii="Times New Roman" w:hAnsi="Times New Roman"/>
          <w:sz w:val="24"/>
          <w:szCs w:val="24"/>
        </w:rPr>
        <w:t>LAO</w:t>
      </w:r>
      <w:r w:rsidR="00F261A5">
        <w:rPr>
          <w:rFonts w:ascii="Times New Roman" w:hAnsi="Times New Roman"/>
          <w:sz w:val="24"/>
          <w:szCs w:val="24"/>
        </w:rPr>
        <w:t>)</w:t>
      </w:r>
      <w:r w:rsidR="003877DB">
        <w:rPr>
          <w:rFonts w:ascii="Times New Roman" w:hAnsi="Times New Roman"/>
          <w:sz w:val="24"/>
          <w:szCs w:val="24"/>
        </w:rPr>
        <w:t xml:space="preserve"> found that the housing density of a typical neighborhood in California’s coastal metropolitan areas increased only by 4 percent during the 2000s.</w:t>
      </w:r>
      <w:r w:rsidR="00B2381F">
        <w:rPr>
          <w:rStyle w:val="FootnoteReference"/>
          <w:rFonts w:ascii="Times New Roman" w:hAnsi="Times New Roman"/>
          <w:sz w:val="24"/>
          <w:szCs w:val="24"/>
        </w:rPr>
        <w:footnoteReference w:id="3"/>
      </w:r>
      <w:r w:rsidR="003877DB">
        <w:rPr>
          <w:rFonts w:ascii="Times New Roman" w:hAnsi="Times New Roman"/>
          <w:sz w:val="24"/>
          <w:szCs w:val="24"/>
        </w:rPr>
        <w:t xml:space="preserve">  The LAO also compared C</w:t>
      </w:r>
      <w:r w:rsidR="00C60F22" w:rsidRPr="00A90647">
        <w:rPr>
          <w:rFonts w:ascii="Times New Roman" w:hAnsi="Times New Roman"/>
          <w:sz w:val="24"/>
          <w:szCs w:val="24"/>
        </w:rPr>
        <w:t xml:space="preserve">alifornia’s coastal </w:t>
      </w:r>
      <w:r w:rsidR="003877DB">
        <w:rPr>
          <w:rFonts w:ascii="Times New Roman" w:hAnsi="Times New Roman"/>
          <w:sz w:val="24"/>
          <w:szCs w:val="24"/>
        </w:rPr>
        <w:t>areas</w:t>
      </w:r>
      <w:r w:rsidR="00C60F22" w:rsidRPr="00A90647">
        <w:rPr>
          <w:rFonts w:ascii="Times New Roman" w:hAnsi="Times New Roman"/>
          <w:sz w:val="24"/>
          <w:szCs w:val="24"/>
        </w:rPr>
        <w:t xml:space="preserve"> to similar metropolitan areas across the country</w:t>
      </w:r>
      <w:r w:rsidR="003877DB">
        <w:rPr>
          <w:rFonts w:ascii="Times New Roman" w:hAnsi="Times New Roman"/>
          <w:sz w:val="24"/>
          <w:szCs w:val="24"/>
        </w:rPr>
        <w:t xml:space="preserve"> and</w:t>
      </w:r>
      <w:r w:rsidR="00C60F22" w:rsidRPr="00A90647">
        <w:rPr>
          <w:rFonts w:ascii="Times New Roman" w:hAnsi="Times New Roman"/>
          <w:sz w:val="24"/>
          <w:szCs w:val="24"/>
        </w:rPr>
        <w:t xml:space="preserve"> </w:t>
      </w:r>
      <w:r w:rsidR="00C60F22" w:rsidRPr="00A90647">
        <w:rPr>
          <w:rFonts w:ascii="Times New Roman" w:hAnsi="Times New Roman"/>
          <w:sz w:val="24"/>
          <w:szCs w:val="24"/>
        </w:rPr>
        <w:lastRenderedPageBreak/>
        <w:t>found that</w:t>
      </w:r>
      <w:r w:rsidR="00E07670">
        <w:rPr>
          <w:rFonts w:ascii="Times New Roman" w:hAnsi="Times New Roman"/>
          <w:sz w:val="24"/>
          <w:szCs w:val="24"/>
        </w:rPr>
        <w:t xml:space="preserve"> </w:t>
      </w:r>
      <w:r w:rsidR="00C60F22" w:rsidRPr="00A90647">
        <w:rPr>
          <w:rFonts w:ascii="Times New Roman" w:hAnsi="Times New Roman"/>
          <w:sz w:val="24"/>
          <w:szCs w:val="24"/>
        </w:rPr>
        <w:t xml:space="preserve">new housing </w:t>
      </w:r>
      <w:r w:rsidR="008F5F66" w:rsidRPr="00A90647">
        <w:rPr>
          <w:rFonts w:ascii="Times New Roman" w:hAnsi="Times New Roman"/>
          <w:sz w:val="24"/>
          <w:szCs w:val="24"/>
        </w:rPr>
        <w:t xml:space="preserve">constructed during the 2000s </w:t>
      </w:r>
      <w:r w:rsidR="00C60F22" w:rsidRPr="00A90647">
        <w:rPr>
          <w:rFonts w:ascii="Times New Roman" w:hAnsi="Times New Roman"/>
          <w:sz w:val="24"/>
          <w:szCs w:val="24"/>
        </w:rPr>
        <w:t xml:space="preserve">in California’s coastal cities was nearly 30% less dense on average </w:t>
      </w:r>
      <w:r w:rsidR="008F5F66" w:rsidRPr="00A90647">
        <w:rPr>
          <w:rFonts w:ascii="Times New Roman" w:hAnsi="Times New Roman"/>
          <w:sz w:val="24"/>
          <w:szCs w:val="24"/>
        </w:rPr>
        <w:t>than new housing in other comparable cities</w:t>
      </w:r>
      <w:r w:rsidR="00C60F22" w:rsidRPr="00A90647">
        <w:rPr>
          <w:rFonts w:ascii="Times New Roman" w:hAnsi="Times New Roman"/>
          <w:sz w:val="24"/>
          <w:szCs w:val="24"/>
        </w:rPr>
        <w:t>—10 units/acre in California compared to 14 units/acre in the other metropolitan areas.</w:t>
      </w:r>
    </w:p>
    <w:p w14:paraId="2B5838B5" w14:textId="4983D64C" w:rsidR="00C60F22" w:rsidRDefault="008F5F66" w:rsidP="003877DB">
      <w:pPr>
        <w:tabs>
          <w:tab w:val="left" w:pos="6120"/>
        </w:tabs>
        <w:rPr>
          <w:rFonts w:ascii="Times New Roman" w:hAnsi="Times New Roman"/>
          <w:sz w:val="24"/>
          <w:szCs w:val="24"/>
        </w:rPr>
      </w:pPr>
      <w:r w:rsidRPr="003877DB">
        <w:rPr>
          <w:rFonts w:ascii="Times New Roman" w:hAnsi="Times New Roman"/>
          <w:sz w:val="24"/>
          <w:szCs w:val="24"/>
        </w:rPr>
        <w:t xml:space="preserve">In addition, the pattern of development in California has changed </w:t>
      </w:r>
      <w:r w:rsidR="003877DB">
        <w:rPr>
          <w:rFonts w:ascii="Times New Roman" w:hAnsi="Times New Roman"/>
          <w:sz w:val="24"/>
          <w:szCs w:val="24"/>
        </w:rPr>
        <w:t>in ways that limit new housing</w:t>
      </w:r>
      <w:r w:rsidRPr="003877DB">
        <w:rPr>
          <w:rFonts w:ascii="Times New Roman" w:hAnsi="Times New Roman"/>
          <w:sz w:val="24"/>
          <w:szCs w:val="24"/>
        </w:rPr>
        <w:t xml:space="preserve"> </w:t>
      </w:r>
      <w:r w:rsidR="003877DB">
        <w:rPr>
          <w:rFonts w:ascii="Times New Roman" w:hAnsi="Times New Roman"/>
          <w:sz w:val="24"/>
          <w:szCs w:val="24"/>
        </w:rPr>
        <w:t>opportunities.  A 2016 a</w:t>
      </w:r>
      <w:r w:rsidR="003877DB" w:rsidRPr="003877DB">
        <w:rPr>
          <w:rFonts w:ascii="Times New Roman" w:hAnsi="Times New Roman"/>
          <w:sz w:val="24"/>
          <w:szCs w:val="24"/>
        </w:rPr>
        <w:t xml:space="preserve">nalysis by </w:t>
      </w:r>
      <w:proofErr w:type="spellStart"/>
      <w:r w:rsidR="003877DB" w:rsidRPr="003877DB">
        <w:rPr>
          <w:rFonts w:ascii="Times New Roman" w:hAnsi="Times New Roman"/>
          <w:sz w:val="24"/>
          <w:szCs w:val="24"/>
        </w:rPr>
        <w:t>BuildZoom</w:t>
      </w:r>
      <w:proofErr w:type="spellEnd"/>
      <w:r w:rsidR="003877DB" w:rsidRPr="003877DB">
        <w:rPr>
          <w:rFonts w:ascii="Times New Roman" w:hAnsi="Times New Roman"/>
          <w:sz w:val="24"/>
          <w:szCs w:val="24"/>
        </w:rPr>
        <w:t xml:space="preserve"> found that </w:t>
      </w:r>
      <w:r w:rsidR="003877DB">
        <w:rPr>
          <w:rFonts w:ascii="Times New Roman" w:hAnsi="Times New Roman"/>
          <w:sz w:val="24"/>
          <w:szCs w:val="24"/>
        </w:rPr>
        <w:t xml:space="preserve">new development has shifted </w:t>
      </w:r>
      <w:r w:rsidRPr="003877DB">
        <w:rPr>
          <w:rFonts w:ascii="Times New Roman" w:hAnsi="Times New Roman"/>
          <w:sz w:val="24"/>
          <w:szCs w:val="24"/>
        </w:rPr>
        <w:t xml:space="preserve">from </w:t>
      </w:r>
      <w:r w:rsidR="006B5B94" w:rsidRPr="003877DB">
        <w:rPr>
          <w:rFonts w:ascii="Times New Roman" w:hAnsi="Times New Roman"/>
          <w:sz w:val="24"/>
          <w:szCs w:val="24"/>
        </w:rPr>
        <w:t xml:space="preserve">moderate </w:t>
      </w:r>
      <w:r w:rsidR="003877DB">
        <w:rPr>
          <w:rFonts w:ascii="Times New Roman" w:hAnsi="Times New Roman"/>
          <w:sz w:val="24"/>
          <w:szCs w:val="24"/>
        </w:rPr>
        <w:t xml:space="preserve">but widespread </w:t>
      </w:r>
      <w:r w:rsidR="006B5B94" w:rsidRPr="003877DB">
        <w:rPr>
          <w:rFonts w:ascii="Times New Roman" w:hAnsi="Times New Roman"/>
          <w:sz w:val="24"/>
          <w:szCs w:val="24"/>
        </w:rPr>
        <w:t>density to pockets of high-density housing near downtown cores surrounded by vast swaths of low-density single-family housing.</w:t>
      </w:r>
      <w:r w:rsidR="00815126">
        <w:rPr>
          <w:rStyle w:val="FootnoteReference"/>
          <w:rFonts w:ascii="Times New Roman" w:hAnsi="Times New Roman"/>
          <w:sz w:val="24"/>
          <w:szCs w:val="24"/>
        </w:rPr>
        <w:footnoteReference w:id="4"/>
      </w:r>
      <w:r w:rsidR="006B5B94" w:rsidRPr="003877DB">
        <w:rPr>
          <w:rFonts w:ascii="Times New Roman" w:hAnsi="Times New Roman"/>
          <w:sz w:val="24"/>
          <w:szCs w:val="24"/>
        </w:rPr>
        <w:t xml:space="preserve">  Specifically, </w:t>
      </w:r>
      <w:r w:rsidR="00A90647" w:rsidRPr="003877DB">
        <w:rPr>
          <w:rFonts w:ascii="Times New Roman" w:hAnsi="Times New Roman"/>
          <w:sz w:val="24"/>
          <w:szCs w:val="24"/>
        </w:rPr>
        <w:t xml:space="preserve">construction of </w:t>
      </w:r>
      <w:proofErr w:type="gramStart"/>
      <w:r w:rsidR="00A90647" w:rsidRPr="003877DB">
        <w:rPr>
          <w:rFonts w:ascii="Times New Roman" w:hAnsi="Times New Roman"/>
          <w:sz w:val="24"/>
          <w:szCs w:val="24"/>
        </w:rPr>
        <w:t>moderately-dense</w:t>
      </w:r>
      <w:proofErr w:type="gramEnd"/>
      <w:r w:rsidR="00A90647" w:rsidRPr="003877DB">
        <w:rPr>
          <w:rFonts w:ascii="Times New Roman" w:hAnsi="Times New Roman"/>
          <w:sz w:val="24"/>
          <w:szCs w:val="24"/>
        </w:rPr>
        <w:t xml:space="preserve"> housing (2-49 units)</w:t>
      </w:r>
      <w:r w:rsidR="006B5B94" w:rsidRPr="003877DB">
        <w:rPr>
          <w:rFonts w:ascii="Times New Roman" w:hAnsi="Times New Roman"/>
          <w:sz w:val="24"/>
          <w:szCs w:val="24"/>
        </w:rPr>
        <w:t xml:space="preserve"> in Californ</w:t>
      </w:r>
      <w:r w:rsidR="00A90647" w:rsidRPr="003877DB">
        <w:rPr>
          <w:rFonts w:ascii="Times New Roman" w:hAnsi="Times New Roman"/>
          <w:sz w:val="24"/>
          <w:szCs w:val="24"/>
        </w:rPr>
        <w:t xml:space="preserve">ia peaked in the 1960s and 1970s and has slowed in recent decades.  For example, in the Los Angeles metropolitan area, land area given to producing homes in moderately-sized multifamily structures has sharply decreased as a share of total land, from a peak of 23.7 percent in the 1960s and 70s to just 6.5 percent in the years since 2016.  </w:t>
      </w:r>
      <w:r w:rsidR="00030A59">
        <w:rPr>
          <w:rFonts w:ascii="Times New Roman" w:hAnsi="Times New Roman"/>
          <w:sz w:val="24"/>
          <w:szCs w:val="24"/>
        </w:rPr>
        <w:t>In addition, the</w:t>
      </w:r>
      <w:r w:rsidR="003877DB">
        <w:rPr>
          <w:rFonts w:ascii="Times New Roman" w:hAnsi="Times New Roman"/>
          <w:sz w:val="24"/>
          <w:szCs w:val="24"/>
        </w:rPr>
        <w:t xml:space="preserve"> share of census tracts in the area that saw almost no housing construction in this area dramatically increased—from less than 1 percent to over 50 percent.</w:t>
      </w:r>
    </w:p>
    <w:p w14:paraId="5D6B0464" w14:textId="77777777" w:rsidR="00CD2EB6" w:rsidRDefault="00CD2EB6" w:rsidP="00CD2EB6">
      <w:pPr>
        <w:tabs>
          <w:tab w:val="left" w:pos="6120"/>
        </w:tabs>
        <w:rPr>
          <w:rFonts w:ascii="Times New Roman" w:hAnsi="Times New Roman"/>
          <w:sz w:val="24"/>
          <w:szCs w:val="24"/>
        </w:rPr>
      </w:pPr>
      <w:r>
        <w:rPr>
          <w:rFonts w:ascii="Times New Roman" w:hAnsi="Times New Roman"/>
          <w:sz w:val="24"/>
          <w:szCs w:val="24"/>
        </w:rPr>
        <w:t>Zoning ordinances add additional constraints that can reduce density: setbacks, floor-area ratios, lot coverage ratios, design requirements, dedications of land for parks or other public purposes, and other regulations can reduce the space on a lot that a building can occupy in ways that lower the number of units it is feasible to construct on a lot.</w:t>
      </w:r>
    </w:p>
    <w:p w14:paraId="1DE4131B" w14:textId="5026F251" w:rsidR="00ED2398" w:rsidRPr="005B6A29" w:rsidRDefault="00ED2398" w:rsidP="00ED2398">
      <w:pPr>
        <w:tabs>
          <w:tab w:val="left" w:pos="6120"/>
        </w:tabs>
        <w:rPr>
          <w:rFonts w:ascii="Times New Roman" w:hAnsi="Times New Roman"/>
          <w:b/>
          <w:sz w:val="24"/>
          <w:szCs w:val="24"/>
        </w:rPr>
      </w:pPr>
      <w:r>
        <w:rPr>
          <w:rFonts w:ascii="Times New Roman" w:hAnsi="Times New Roman"/>
          <w:sz w:val="24"/>
          <w:szCs w:val="24"/>
        </w:rPr>
        <w:t>L</w:t>
      </w:r>
      <w:r w:rsidRPr="00DD5F4E">
        <w:rPr>
          <w:rFonts w:ascii="Times New Roman" w:hAnsi="Times New Roman"/>
          <w:sz w:val="24"/>
          <w:szCs w:val="24"/>
        </w:rPr>
        <w:t xml:space="preserve">ocal governments </w:t>
      </w:r>
      <w:r>
        <w:rPr>
          <w:rFonts w:ascii="Times New Roman" w:hAnsi="Times New Roman"/>
          <w:sz w:val="24"/>
          <w:szCs w:val="24"/>
        </w:rPr>
        <w:t xml:space="preserve">also </w:t>
      </w:r>
      <w:r w:rsidRPr="00DD5F4E">
        <w:rPr>
          <w:rFonts w:ascii="Times New Roman" w:hAnsi="Times New Roman"/>
          <w:sz w:val="24"/>
          <w:szCs w:val="24"/>
        </w:rPr>
        <w:t xml:space="preserve">sometimes establish stringent zoning restrictions </w:t>
      </w:r>
      <w:r>
        <w:rPr>
          <w:rFonts w:ascii="Times New Roman" w:hAnsi="Times New Roman"/>
          <w:sz w:val="24"/>
          <w:szCs w:val="24"/>
        </w:rPr>
        <w:t xml:space="preserve">specifically </w:t>
      </w:r>
      <w:r w:rsidRPr="00DD5F4E">
        <w:rPr>
          <w:rFonts w:ascii="Times New Roman" w:hAnsi="Times New Roman"/>
          <w:sz w:val="24"/>
          <w:szCs w:val="24"/>
        </w:rPr>
        <w:t>to maintain discretion over development</w:t>
      </w:r>
      <w:r>
        <w:rPr>
          <w:rFonts w:ascii="Times New Roman" w:hAnsi="Times New Roman"/>
          <w:sz w:val="24"/>
          <w:szCs w:val="24"/>
        </w:rPr>
        <w:t>.</w:t>
      </w:r>
      <w:r w:rsidRPr="00DD5F4E">
        <w:rPr>
          <w:rStyle w:val="FootnoteReference"/>
          <w:rFonts w:ascii="Times New Roman" w:hAnsi="Times New Roman"/>
          <w:sz w:val="24"/>
          <w:szCs w:val="24"/>
        </w:rPr>
        <w:footnoteReference w:id="5"/>
      </w:r>
      <w:r>
        <w:rPr>
          <w:rFonts w:ascii="Times New Roman" w:hAnsi="Times New Roman"/>
          <w:sz w:val="24"/>
          <w:szCs w:val="24"/>
        </w:rPr>
        <w:t xml:space="preserve">  This practice </w:t>
      </w:r>
      <w:r w:rsidRPr="00DD5F4E">
        <w:rPr>
          <w:rFonts w:ascii="Times New Roman" w:hAnsi="Times New Roman"/>
          <w:sz w:val="24"/>
          <w:szCs w:val="24"/>
        </w:rPr>
        <w:t>allows them to bargain more effectively with developers for contributions to services</w:t>
      </w:r>
      <w:r>
        <w:rPr>
          <w:rFonts w:ascii="Times New Roman" w:hAnsi="Times New Roman"/>
          <w:sz w:val="24"/>
          <w:szCs w:val="24"/>
        </w:rPr>
        <w:t xml:space="preserve"> in order to overcome the fiscal effects of residential development (discussed below)</w:t>
      </w:r>
      <w:r w:rsidRPr="00DD5F4E">
        <w:rPr>
          <w:rFonts w:ascii="Times New Roman" w:hAnsi="Times New Roman"/>
          <w:sz w:val="24"/>
          <w:szCs w:val="24"/>
        </w:rPr>
        <w:t xml:space="preserve">, </w:t>
      </w:r>
      <w:r>
        <w:rPr>
          <w:rFonts w:ascii="Times New Roman" w:hAnsi="Times New Roman"/>
          <w:sz w:val="24"/>
          <w:szCs w:val="24"/>
        </w:rPr>
        <w:t xml:space="preserve">or to simply provide more opportunities to deny projects.  </w:t>
      </w:r>
    </w:p>
    <w:p w14:paraId="51EC9D50" w14:textId="16918C3F" w:rsidR="00E068E5" w:rsidRDefault="008E6B87" w:rsidP="008E6B87">
      <w:pPr>
        <w:tabs>
          <w:tab w:val="left" w:pos="6120"/>
        </w:tabs>
        <w:rPr>
          <w:rFonts w:ascii="Times New Roman" w:hAnsi="Times New Roman"/>
          <w:sz w:val="24"/>
          <w:szCs w:val="24"/>
        </w:rPr>
      </w:pPr>
      <w:r>
        <w:rPr>
          <w:rFonts w:ascii="Times New Roman" w:hAnsi="Times New Roman"/>
          <w:b/>
          <w:i/>
          <w:sz w:val="24"/>
          <w:szCs w:val="24"/>
        </w:rPr>
        <w:t>Permitting Processes</w:t>
      </w:r>
      <w:r w:rsidR="00E068E5">
        <w:rPr>
          <w:rFonts w:ascii="Times New Roman" w:hAnsi="Times New Roman"/>
          <w:b/>
          <w:i/>
          <w:sz w:val="24"/>
          <w:szCs w:val="24"/>
        </w:rPr>
        <w:t xml:space="preserve"> Create Many Paths to Halt Projects</w:t>
      </w:r>
      <w:r>
        <w:rPr>
          <w:rFonts w:ascii="Times New Roman" w:hAnsi="Times New Roman"/>
          <w:b/>
          <w:i/>
          <w:sz w:val="24"/>
          <w:szCs w:val="24"/>
        </w:rPr>
        <w:t>.</w:t>
      </w:r>
      <w:r w:rsidRPr="008E6B87">
        <w:rPr>
          <w:rFonts w:ascii="Times New Roman" w:hAnsi="Times New Roman"/>
          <w:sz w:val="24"/>
          <w:szCs w:val="24"/>
        </w:rPr>
        <w:t xml:space="preserve"> </w:t>
      </w:r>
      <w:r w:rsidRPr="00A10D9A">
        <w:rPr>
          <w:rFonts w:ascii="Times New Roman" w:hAnsi="Times New Roman"/>
          <w:sz w:val="24"/>
          <w:szCs w:val="24"/>
        </w:rPr>
        <w:t xml:space="preserve">Recent reports </w:t>
      </w:r>
      <w:r w:rsidR="00D64911">
        <w:rPr>
          <w:rFonts w:ascii="Times New Roman" w:hAnsi="Times New Roman"/>
          <w:sz w:val="24"/>
          <w:szCs w:val="24"/>
        </w:rPr>
        <w:t xml:space="preserve">point to the permitting and </w:t>
      </w:r>
      <w:r w:rsidRPr="00A10D9A">
        <w:rPr>
          <w:rFonts w:ascii="Times New Roman" w:hAnsi="Times New Roman"/>
          <w:sz w:val="24"/>
          <w:szCs w:val="24"/>
        </w:rPr>
        <w:t>approval processes as a major factor</w:t>
      </w:r>
      <w:r w:rsidR="00D64911">
        <w:rPr>
          <w:rFonts w:ascii="Times New Roman" w:hAnsi="Times New Roman"/>
          <w:sz w:val="24"/>
          <w:szCs w:val="24"/>
        </w:rPr>
        <w:t xml:space="preserve"> preventing more housing construction</w:t>
      </w:r>
      <w:r w:rsidRPr="00A10D9A">
        <w:rPr>
          <w:rFonts w:ascii="Times New Roman" w:hAnsi="Times New Roman"/>
          <w:sz w:val="24"/>
          <w:szCs w:val="24"/>
        </w:rPr>
        <w:t xml:space="preserve">.  </w:t>
      </w:r>
      <w:r w:rsidR="00B2381F">
        <w:rPr>
          <w:rFonts w:ascii="Times New Roman" w:hAnsi="Times New Roman"/>
          <w:sz w:val="24"/>
          <w:szCs w:val="24"/>
        </w:rPr>
        <w:t>L</w:t>
      </w:r>
      <w:r w:rsidRPr="00A10D9A">
        <w:rPr>
          <w:rFonts w:ascii="Times New Roman" w:hAnsi="Times New Roman"/>
          <w:sz w:val="24"/>
          <w:szCs w:val="24"/>
        </w:rPr>
        <w:t xml:space="preserve">ocal governments control most of the decisions about where, when, and how to build new housing, and those governments are quick to respond to vocal community members that may not want new neighbors.  </w:t>
      </w:r>
      <w:r w:rsidR="00D85214">
        <w:rPr>
          <w:rFonts w:ascii="Times New Roman" w:hAnsi="Times New Roman"/>
          <w:sz w:val="24"/>
          <w:szCs w:val="24"/>
        </w:rPr>
        <w:t xml:space="preserve">As described above, cities and counties often require multiple layers of approval for new housing projects and </w:t>
      </w:r>
      <w:r w:rsidR="00CD610C">
        <w:rPr>
          <w:rFonts w:ascii="Times New Roman" w:hAnsi="Times New Roman"/>
          <w:sz w:val="24"/>
          <w:szCs w:val="24"/>
        </w:rPr>
        <w:t>commonly</w:t>
      </w:r>
      <w:r w:rsidR="00D85214">
        <w:rPr>
          <w:rFonts w:ascii="Times New Roman" w:hAnsi="Times New Roman"/>
          <w:sz w:val="24"/>
          <w:szCs w:val="24"/>
        </w:rPr>
        <w:t xml:space="preserve"> include review by multiple departments within the city</w:t>
      </w:r>
      <w:r w:rsidR="00CD610C">
        <w:rPr>
          <w:rFonts w:ascii="Times New Roman" w:hAnsi="Times New Roman"/>
          <w:sz w:val="24"/>
          <w:szCs w:val="24"/>
        </w:rPr>
        <w:t xml:space="preserve"> (such as the building department, fire department, and health department)</w:t>
      </w:r>
      <w:r w:rsidR="00D85214">
        <w:rPr>
          <w:rFonts w:ascii="Times New Roman" w:hAnsi="Times New Roman"/>
          <w:sz w:val="24"/>
          <w:szCs w:val="24"/>
        </w:rPr>
        <w:t xml:space="preserve">, a design review board, the planning commission, and the city council or board of supervisors.  Many of these reviews </w:t>
      </w:r>
      <w:proofErr w:type="gramStart"/>
      <w:r w:rsidR="00D85214">
        <w:rPr>
          <w:rFonts w:ascii="Times New Roman" w:hAnsi="Times New Roman"/>
          <w:sz w:val="24"/>
          <w:szCs w:val="24"/>
        </w:rPr>
        <w:t>must be conducted</w:t>
      </w:r>
      <w:proofErr w:type="gramEnd"/>
      <w:r w:rsidR="00D85214">
        <w:rPr>
          <w:rFonts w:ascii="Times New Roman" w:hAnsi="Times New Roman"/>
          <w:sz w:val="24"/>
          <w:szCs w:val="24"/>
        </w:rPr>
        <w:t xml:space="preserve"> at public hearings,</w:t>
      </w:r>
      <w:r w:rsidR="00CD610C">
        <w:rPr>
          <w:rFonts w:ascii="Times New Roman" w:hAnsi="Times New Roman"/>
          <w:sz w:val="24"/>
          <w:szCs w:val="24"/>
        </w:rPr>
        <w:t xml:space="preserve"> providing venues for</w:t>
      </w:r>
      <w:r w:rsidR="00D85214">
        <w:rPr>
          <w:rFonts w:ascii="Times New Roman" w:hAnsi="Times New Roman"/>
          <w:sz w:val="24"/>
          <w:szCs w:val="24"/>
        </w:rPr>
        <w:t xml:space="preserve"> residents </w:t>
      </w:r>
      <w:r w:rsidR="00CD610C">
        <w:rPr>
          <w:rFonts w:ascii="Times New Roman" w:hAnsi="Times New Roman"/>
          <w:sz w:val="24"/>
          <w:szCs w:val="24"/>
        </w:rPr>
        <w:t xml:space="preserve">that oppose </w:t>
      </w:r>
      <w:r w:rsidR="00CD610C">
        <w:rPr>
          <w:rFonts w:ascii="Times New Roman" w:hAnsi="Times New Roman"/>
          <w:sz w:val="24"/>
          <w:szCs w:val="24"/>
        </w:rPr>
        <w:lastRenderedPageBreak/>
        <w:t xml:space="preserve">development to make their voices heard.  </w:t>
      </w:r>
      <w:proofErr w:type="gramStart"/>
      <w:r w:rsidR="00CD610C">
        <w:rPr>
          <w:rFonts w:ascii="Times New Roman" w:hAnsi="Times New Roman"/>
          <w:sz w:val="24"/>
          <w:szCs w:val="24"/>
        </w:rPr>
        <w:t>More complicated projects</w:t>
      </w:r>
      <w:proofErr w:type="gramEnd"/>
      <w:r w:rsidR="00CD610C">
        <w:rPr>
          <w:rFonts w:ascii="Times New Roman" w:hAnsi="Times New Roman"/>
          <w:sz w:val="24"/>
          <w:szCs w:val="24"/>
        </w:rPr>
        <w:t xml:space="preserve"> require even more approvals </w:t>
      </w:r>
      <w:r w:rsidR="00E068E5">
        <w:rPr>
          <w:rFonts w:ascii="Times New Roman" w:hAnsi="Times New Roman"/>
          <w:sz w:val="24"/>
          <w:szCs w:val="24"/>
        </w:rPr>
        <w:t xml:space="preserve">and procedural steps, </w:t>
      </w:r>
      <w:r w:rsidR="00BB3E2F">
        <w:rPr>
          <w:rFonts w:ascii="Times New Roman" w:hAnsi="Times New Roman"/>
          <w:sz w:val="24"/>
          <w:szCs w:val="24"/>
        </w:rPr>
        <w:t>such as</w:t>
      </w:r>
      <w:r w:rsidR="00E068E5">
        <w:rPr>
          <w:rFonts w:ascii="Times New Roman" w:hAnsi="Times New Roman"/>
          <w:sz w:val="24"/>
          <w:szCs w:val="24"/>
        </w:rPr>
        <w:t>:</w:t>
      </w:r>
    </w:p>
    <w:p w14:paraId="7C0CD795" w14:textId="77777777" w:rsidR="00E068E5" w:rsidRDefault="00E068E5" w:rsidP="00E068E5">
      <w:pPr>
        <w:pStyle w:val="ListParagraph"/>
        <w:numPr>
          <w:ilvl w:val="0"/>
          <w:numId w:val="21"/>
        </w:numPr>
        <w:tabs>
          <w:tab w:val="left" w:pos="6120"/>
        </w:tabs>
        <w:rPr>
          <w:rFonts w:ascii="Times New Roman" w:hAnsi="Times New Roman"/>
          <w:sz w:val="24"/>
          <w:szCs w:val="24"/>
        </w:rPr>
      </w:pPr>
      <w:r>
        <w:rPr>
          <w:rFonts w:ascii="Times New Roman" w:hAnsi="Times New Roman"/>
          <w:sz w:val="24"/>
          <w:szCs w:val="24"/>
        </w:rPr>
        <w:t>N</w:t>
      </w:r>
      <w:r w:rsidR="00CD610C" w:rsidRPr="00E068E5">
        <w:rPr>
          <w:rFonts w:ascii="Times New Roman" w:hAnsi="Times New Roman"/>
          <w:sz w:val="24"/>
          <w:szCs w:val="24"/>
        </w:rPr>
        <w:t>eighborhood meetings</w:t>
      </w:r>
      <w:r>
        <w:rPr>
          <w:rFonts w:ascii="Times New Roman" w:hAnsi="Times New Roman"/>
          <w:sz w:val="24"/>
          <w:szCs w:val="24"/>
        </w:rPr>
        <w:t>;</w:t>
      </w:r>
    </w:p>
    <w:p w14:paraId="6084F422" w14:textId="77777777" w:rsidR="00E068E5" w:rsidRDefault="00E068E5" w:rsidP="00E068E5">
      <w:pPr>
        <w:pStyle w:val="ListParagraph"/>
        <w:numPr>
          <w:ilvl w:val="0"/>
          <w:numId w:val="21"/>
        </w:numPr>
        <w:tabs>
          <w:tab w:val="left" w:pos="6120"/>
        </w:tabs>
        <w:rPr>
          <w:rFonts w:ascii="Times New Roman" w:hAnsi="Times New Roman"/>
          <w:sz w:val="24"/>
          <w:szCs w:val="24"/>
        </w:rPr>
      </w:pPr>
      <w:r>
        <w:rPr>
          <w:rFonts w:ascii="Times New Roman" w:hAnsi="Times New Roman"/>
          <w:sz w:val="24"/>
          <w:szCs w:val="24"/>
        </w:rPr>
        <w:t>D</w:t>
      </w:r>
      <w:r w:rsidRPr="00E068E5">
        <w:rPr>
          <w:rFonts w:ascii="Times New Roman" w:hAnsi="Times New Roman"/>
          <w:sz w:val="24"/>
          <w:szCs w:val="24"/>
        </w:rPr>
        <w:t>emo</w:t>
      </w:r>
      <w:r>
        <w:rPr>
          <w:rFonts w:ascii="Times New Roman" w:hAnsi="Times New Roman"/>
          <w:sz w:val="24"/>
          <w:szCs w:val="24"/>
        </w:rPr>
        <w:t>lition permits;</w:t>
      </w:r>
    </w:p>
    <w:p w14:paraId="79EE04E2" w14:textId="77777777" w:rsidR="00E068E5" w:rsidRDefault="00E068E5" w:rsidP="00E068E5">
      <w:pPr>
        <w:pStyle w:val="ListParagraph"/>
        <w:numPr>
          <w:ilvl w:val="0"/>
          <w:numId w:val="21"/>
        </w:numPr>
        <w:tabs>
          <w:tab w:val="left" w:pos="6120"/>
        </w:tabs>
        <w:rPr>
          <w:rFonts w:ascii="Times New Roman" w:hAnsi="Times New Roman"/>
          <w:sz w:val="24"/>
          <w:szCs w:val="24"/>
        </w:rPr>
      </w:pPr>
      <w:r>
        <w:rPr>
          <w:rFonts w:ascii="Times New Roman" w:hAnsi="Times New Roman"/>
          <w:sz w:val="24"/>
          <w:szCs w:val="24"/>
        </w:rPr>
        <w:t>C</w:t>
      </w:r>
      <w:r w:rsidR="00CD610C" w:rsidRPr="00E068E5">
        <w:rPr>
          <w:rFonts w:ascii="Times New Roman" w:hAnsi="Times New Roman"/>
          <w:sz w:val="24"/>
          <w:szCs w:val="24"/>
        </w:rPr>
        <w:t>hanges to zoning ordinances</w:t>
      </w:r>
      <w:r>
        <w:rPr>
          <w:rFonts w:ascii="Times New Roman" w:hAnsi="Times New Roman"/>
          <w:sz w:val="24"/>
          <w:szCs w:val="24"/>
        </w:rPr>
        <w:t>;</w:t>
      </w:r>
    </w:p>
    <w:p w14:paraId="08F0408C" w14:textId="77777777" w:rsidR="00E068E5" w:rsidRDefault="00E068E5" w:rsidP="00E068E5">
      <w:pPr>
        <w:pStyle w:val="ListParagraph"/>
        <w:numPr>
          <w:ilvl w:val="0"/>
          <w:numId w:val="21"/>
        </w:numPr>
        <w:tabs>
          <w:tab w:val="left" w:pos="6120"/>
        </w:tabs>
        <w:rPr>
          <w:rFonts w:ascii="Times New Roman" w:hAnsi="Times New Roman"/>
          <w:sz w:val="24"/>
          <w:szCs w:val="24"/>
        </w:rPr>
      </w:pPr>
      <w:r>
        <w:rPr>
          <w:rFonts w:ascii="Times New Roman" w:hAnsi="Times New Roman"/>
          <w:sz w:val="24"/>
          <w:szCs w:val="24"/>
        </w:rPr>
        <w:t>G</w:t>
      </w:r>
      <w:r w:rsidR="00CD610C" w:rsidRPr="00E068E5">
        <w:rPr>
          <w:rFonts w:ascii="Times New Roman" w:hAnsi="Times New Roman"/>
          <w:sz w:val="24"/>
          <w:szCs w:val="24"/>
        </w:rPr>
        <w:t>eneral plan amendments</w:t>
      </w:r>
      <w:r>
        <w:rPr>
          <w:rFonts w:ascii="Times New Roman" w:hAnsi="Times New Roman"/>
          <w:sz w:val="24"/>
          <w:szCs w:val="24"/>
        </w:rPr>
        <w:t>;</w:t>
      </w:r>
    </w:p>
    <w:p w14:paraId="3628CA2A" w14:textId="77777777" w:rsidR="00E068E5" w:rsidRDefault="00E068E5" w:rsidP="00E068E5">
      <w:pPr>
        <w:pStyle w:val="ListParagraph"/>
        <w:numPr>
          <w:ilvl w:val="0"/>
          <w:numId w:val="21"/>
        </w:numPr>
        <w:tabs>
          <w:tab w:val="left" w:pos="6120"/>
        </w:tabs>
        <w:rPr>
          <w:rFonts w:ascii="Times New Roman" w:hAnsi="Times New Roman"/>
          <w:sz w:val="24"/>
          <w:szCs w:val="24"/>
        </w:rPr>
      </w:pPr>
      <w:r>
        <w:rPr>
          <w:rFonts w:ascii="Times New Roman" w:hAnsi="Times New Roman"/>
          <w:sz w:val="24"/>
          <w:szCs w:val="24"/>
        </w:rPr>
        <w:t>S</w:t>
      </w:r>
      <w:r w:rsidR="00CD610C" w:rsidRPr="00E068E5">
        <w:rPr>
          <w:rFonts w:ascii="Times New Roman" w:hAnsi="Times New Roman"/>
          <w:sz w:val="24"/>
          <w:szCs w:val="24"/>
        </w:rPr>
        <w:t xml:space="preserve">ubdivision map </w:t>
      </w:r>
      <w:r>
        <w:rPr>
          <w:rFonts w:ascii="Times New Roman" w:hAnsi="Times New Roman"/>
          <w:sz w:val="24"/>
          <w:szCs w:val="24"/>
        </w:rPr>
        <w:t>approval;</w:t>
      </w:r>
    </w:p>
    <w:p w14:paraId="751CC966" w14:textId="77777777" w:rsidR="00E068E5" w:rsidRDefault="00E068E5" w:rsidP="00E068E5">
      <w:pPr>
        <w:pStyle w:val="ListParagraph"/>
        <w:numPr>
          <w:ilvl w:val="0"/>
          <w:numId w:val="21"/>
        </w:numPr>
        <w:tabs>
          <w:tab w:val="left" w:pos="6120"/>
        </w:tabs>
        <w:rPr>
          <w:rFonts w:ascii="Times New Roman" w:hAnsi="Times New Roman"/>
          <w:sz w:val="24"/>
          <w:szCs w:val="24"/>
        </w:rPr>
      </w:pPr>
      <w:r>
        <w:rPr>
          <w:rFonts w:ascii="Times New Roman" w:hAnsi="Times New Roman"/>
          <w:sz w:val="24"/>
          <w:szCs w:val="24"/>
        </w:rPr>
        <w:t>W</w:t>
      </w:r>
      <w:r w:rsidR="00CD610C" w:rsidRPr="00E068E5">
        <w:rPr>
          <w:rFonts w:ascii="Times New Roman" w:hAnsi="Times New Roman"/>
          <w:sz w:val="24"/>
          <w:szCs w:val="24"/>
        </w:rPr>
        <w:t>ater s</w:t>
      </w:r>
      <w:r>
        <w:rPr>
          <w:rFonts w:ascii="Times New Roman" w:hAnsi="Times New Roman"/>
          <w:sz w:val="24"/>
          <w:szCs w:val="24"/>
        </w:rPr>
        <w:t>upply assessments;</w:t>
      </w:r>
    </w:p>
    <w:p w14:paraId="4DD1D270" w14:textId="77777777" w:rsidR="00E068E5" w:rsidRDefault="00E068E5" w:rsidP="00E068E5">
      <w:pPr>
        <w:pStyle w:val="ListParagraph"/>
        <w:numPr>
          <w:ilvl w:val="0"/>
          <w:numId w:val="21"/>
        </w:numPr>
        <w:tabs>
          <w:tab w:val="left" w:pos="6120"/>
        </w:tabs>
        <w:rPr>
          <w:rFonts w:ascii="Times New Roman" w:hAnsi="Times New Roman"/>
          <w:sz w:val="24"/>
          <w:szCs w:val="24"/>
        </w:rPr>
      </w:pPr>
      <w:r>
        <w:rPr>
          <w:rFonts w:ascii="Times New Roman" w:hAnsi="Times New Roman"/>
          <w:sz w:val="24"/>
          <w:szCs w:val="24"/>
        </w:rPr>
        <w:t>Cultural heritage reviews;</w:t>
      </w:r>
    </w:p>
    <w:p w14:paraId="25CB6BCE" w14:textId="4B10962B" w:rsidR="00E068E5" w:rsidRDefault="00E068E5" w:rsidP="00E068E5">
      <w:pPr>
        <w:pStyle w:val="ListParagraph"/>
        <w:numPr>
          <w:ilvl w:val="0"/>
          <w:numId w:val="21"/>
        </w:numPr>
        <w:tabs>
          <w:tab w:val="left" w:pos="6120"/>
        </w:tabs>
        <w:rPr>
          <w:rFonts w:ascii="Times New Roman" w:hAnsi="Times New Roman"/>
          <w:sz w:val="24"/>
          <w:szCs w:val="24"/>
        </w:rPr>
      </w:pPr>
      <w:r>
        <w:rPr>
          <w:rFonts w:ascii="Times New Roman" w:hAnsi="Times New Roman"/>
          <w:sz w:val="24"/>
          <w:szCs w:val="24"/>
        </w:rPr>
        <w:t>E</w:t>
      </w:r>
      <w:r w:rsidR="00CD610C" w:rsidRPr="00E068E5">
        <w:rPr>
          <w:rFonts w:ascii="Times New Roman" w:hAnsi="Times New Roman"/>
          <w:sz w:val="24"/>
          <w:szCs w:val="24"/>
        </w:rPr>
        <w:t>ndangered species act reviews</w:t>
      </w:r>
      <w:r>
        <w:rPr>
          <w:rFonts w:ascii="Times New Roman" w:hAnsi="Times New Roman"/>
          <w:sz w:val="24"/>
          <w:szCs w:val="24"/>
        </w:rPr>
        <w:t>, and;</w:t>
      </w:r>
    </w:p>
    <w:p w14:paraId="5C1F5202" w14:textId="21FE8CE7" w:rsidR="00E068E5" w:rsidRDefault="00E068E5" w:rsidP="00E068E5">
      <w:pPr>
        <w:pStyle w:val="ListParagraph"/>
        <w:numPr>
          <w:ilvl w:val="0"/>
          <w:numId w:val="21"/>
        </w:numPr>
        <w:tabs>
          <w:tab w:val="left" w:pos="6120"/>
        </w:tabs>
        <w:rPr>
          <w:rFonts w:ascii="Times New Roman" w:hAnsi="Times New Roman"/>
          <w:sz w:val="24"/>
          <w:szCs w:val="24"/>
        </w:rPr>
      </w:pPr>
      <w:r>
        <w:rPr>
          <w:rFonts w:ascii="Times New Roman" w:hAnsi="Times New Roman"/>
          <w:sz w:val="24"/>
          <w:szCs w:val="24"/>
        </w:rPr>
        <w:t>A</w:t>
      </w:r>
      <w:r w:rsidR="00CD610C" w:rsidRPr="00E068E5">
        <w:rPr>
          <w:rFonts w:ascii="Times New Roman" w:hAnsi="Times New Roman"/>
          <w:sz w:val="24"/>
          <w:szCs w:val="24"/>
        </w:rPr>
        <w:t xml:space="preserve">rts commission reviews.  </w:t>
      </w:r>
    </w:p>
    <w:p w14:paraId="2363A6DD" w14:textId="297194D2" w:rsidR="00E068E5" w:rsidRPr="00E068E5" w:rsidRDefault="00BB3E2F" w:rsidP="00E068E5">
      <w:pPr>
        <w:tabs>
          <w:tab w:val="left" w:pos="6120"/>
        </w:tabs>
        <w:rPr>
          <w:rFonts w:ascii="Times New Roman" w:hAnsi="Times New Roman"/>
          <w:sz w:val="24"/>
          <w:szCs w:val="24"/>
        </w:rPr>
      </w:pPr>
      <w:r>
        <w:rPr>
          <w:rFonts w:ascii="Times New Roman" w:hAnsi="Times New Roman"/>
          <w:sz w:val="24"/>
          <w:szCs w:val="24"/>
        </w:rPr>
        <w:t>M</w:t>
      </w:r>
      <w:r w:rsidR="00CD610C" w:rsidRPr="00E068E5">
        <w:rPr>
          <w:rFonts w:ascii="Times New Roman" w:hAnsi="Times New Roman"/>
          <w:sz w:val="24"/>
          <w:szCs w:val="24"/>
        </w:rPr>
        <w:t>ost projects that require an approval where a local government exercises discretion must also complete</w:t>
      </w:r>
      <w:r w:rsidR="00030A59">
        <w:rPr>
          <w:rFonts w:ascii="Times New Roman" w:hAnsi="Times New Roman"/>
          <w:sz w:val="24"/>
          <w:szCs w:val="24"/>
        </w:rPr>
        <w:t xml:space="preserve"> California Environmental Quality Act</w:t>
      </w:r>
      <w:r w:rsidR="00CD610C" w:rsidRPr="00E068E5">
        <w:rPr>
          <w:rFonts w:ascii="Times New Roman" w:hAnsi="Times New Roman"/>
          <w:sz w:val="24"/>
          <w:szCs w:val="24"/>
        </w:rPr>
        <w:t xml:space="preserve"> </w:t>
      </w:r>
      <w:r w:rsidR="00030A59">
        <w:rPr>
          <w:rFonts w:ascii="Times New Roman" w:hAnsi="Times New Roman"/>
          <w:sz w:val="24"/>
          <w:szCs w:val="24"/>
        </w:rPr>
        <w:t>(</w:t>
      </w:r>
      <w:r w:rsidR="00CD610C" w:rsidRPr="00E068E5">
        <w:rPr>
          <w:rFonts w:ascii="Times New Roman" w:hAnsi="Times New Roman"/>
          <w:sz w:val="24"/>
          <w:szCs w:val="24"/>
        </w:rPr>
        <w:t>CEQA</w:t>
      </w:r>
      <w:r w:rsidR="00030A59">
        <w:rPr>
          <w:rFonts w:ascii="Times New Roman" w:hAnsi="Times New Roman"/>
          <w:sz w:val="24"/>
          <w:szCs w:val="24"/>
        </w:rPr>
        <w:t>)</w:t>
      </w:r>
      <w:r w:rsidR="00CD610C" w:rsidRPr="00E068E5">
        <w:rPr>
          <w:rFonts w:ascii="Times New Roman" w:hAnsi="Times New Roman"/>
          <w:sz w:val="24"/>
          <w:szCs w:val="24"/>
        </w:rPr>
        <w:t xml:space="preserve"> review</w:t>
      </w:r>
      <w:r>
        <w:rPr>
          <w:rFonts w:ascii="Times New Roman" w:hAnsi="Times New Roman"/>
          <w:sz w:val="24"/>
          <w:szCs w:val="24"/>
        </w:rPr>
        <w:t xml:space="preserve">, which can entail complicated analyses of dozens of aspects of the environment upon which a development may have a significant impact, such as </w:t>
      </w:r>
      <w:r w:rsidRPr="00BB3E2F">
        <w:rPr>
          <w:rFonts w:ascii="Times New Roman" w:hAnsi="Times New Roman"/>
          <w:sz w:val="24"/>
          <w:szCs w:val="24"/>
        </w:rPr>
        <w:t>land, air, water, minerals, flora, fauna, ambient noise</w:t>
      </w:r>
      <w:r>
        <w:rPr>
          <w:rFonts w:ascii="Times New Roman" w:hAnsi="Times New Roman"/>
          <w:sz w:val="24"/>
          <w:szCs w:val="24"/>
        </w:rPr>
        <w:t xml:space="preserve"> levels</w:t>
      </w:r>
      <w:r w:rsidRPr="00BB3E2F">
        <w:rPr>
          <w:rFonts w:ascii="Times New Roman" w:hAnsi="Times New Roman"/>
          <w:sz w:val="24"/>
          <w:szCs w:val="24"/>
        </w:rPr>
        <w:t>, and objects of historic or aesthetic significance</w:t>
      </w:r>
      <w:r w:rsidR="00CD610C" w:rsidRPr="00E068E5">
        <w:rPr>
          <w:rFonts w:ascii="Times New Roman" w:hAnsi="Times New Roman"/>
          <w:sz w:val="24"/>
          <w:szCs w:val="24"/>
        </w:rPr>
        <w:t xml:space="preserve">.  </w:t>
      </w:r>
      <w:r w:rsidR="00E068E5" w:rsidRPr="00E068E5">
        <w:rPr>
          <w:rFonts w:ascii="Times New Roman" w:hAnsi="Times New Roman"/>
          <w:sz w:val="24"/>
          <w:szCs w:val="24"/>
        </w:rPr>
        <w:t xml:space="preserve">Development opponents can appeal many of these individual decisions </w:t>
      </w:r>
      <w:proofErr w:type="gramStart"/>
      <w:r w:rsidR="00E068E5" w:rsidRPr="00E068E5">
        <w:rPr>
          <w:rFonts w:ascii="Times New Roman" w:hAnsi="Times New Roman"/>
          <w:sz w:val="24"/>
          <w:szCs w:val="24"/>
        </w:rPr>
        <w:t>to the planning commission and to the city council</w:t>
      </w:r>
      <w:proofErr w:type="gramEnd"/>
      <w:r w:rsidR="00E068E5" w:rsidRPr="00E068E5">
        <w:rPr>
          <w:rFonts w:ascii="Times New Roman" w:hAnsi="Times New Roman"/>
          <w:sz w:val="24"/>
          <w:szCs w:val="24"/>
        </w:rPr>
        <w:t xml:space="preserve"> or board of supervisors.  Finally, litigation over approvals is also common.  </w:t>
      </w:r>
    </w:p>
    <w:p w14:paraId="5A1378FB" w14:textId="77777777" w:rsidR="00030A59" w:rsidRDefault="00030A59" w:rsidP="00030A59">
      <w:pPr>
        <w:tabs>
          <w:tab w:val="left" w:pos="6120"/>
        </w:tabs>
        <w:rPr>
          <w:rFonts w:ascii="Times New Roman" w:hAnsi="Times New Roman"/>
          <w:sz w:val="24"/>
          <w:szCs w:val="24"/>
        </w:rPr>
      </w:pPr>
      <w:r w:rsidRPr="00A10D9A">
        <w:rPr>
          <w:rFonts w:ascii="Times New Roman" w:hAnsi="Times New Roman"/>
          <w:sz w:val="24"/>
          <w:szCs w:val="24"/>
        </w:rPr>
        <w:t>The building ind</w:t>
      </w:r>
      <w:r>
        <w:rPr>
          <w:rFonts w:ascii="Times New Roman" w:hAnsi="Times New Roman"/>
          <w:sz w:val="24"/>
          <w:szCs w:val="24"/>
        </w:rPr>
        <w:t>ustry also points to environmental reviews and other permitting hurdles as a hindrance to housing development.  They argue that the high cost of building and delays in the approval process reduce builders’ incentives to develop housing.  For example, a 2018 study by the National Association of Homebuilders and the National Multifamily Housing Council attributed an average of 32% of the cost of a new multifamily housing development to regulatory costs, such as obtaining zoning approval, complying with building codes, and paying impact fees.</w:t>
      </w:r>
      <w:r>
        <w:rPr>
          <w:rStyle w:val="FootnoteReference"/>
          <w:rFonts w:ascii="Times New Roman" w:hAnsi="Times New Roman"/>
          <w:sz w:val="24"/>
          <w:szCs w:val="24"/>
        </w:rPr>
        <w:footnoteReference w:id="6"/>
      </w:r>
      <w:r>
        <w:rPr>
          <w:rFonts w:ascii="Times New Roman" w:hAnsi="Times New Roman"/>
          <w:sz w:val="24"/>
          <w:szCs w:val="24"/>
        </w:rPr>
        <w:t xml:space="preserve">  </w:t>
      </w:r>
    </w:p>
    <w:p w14:paraId="0D4E9DD9" w14:textId="50D4D1EB" w:rsidR="00CD610C" w:rsidRDefault="00E068E5" w:rsidP="008E6B87">
      <w:pPr>
        <w:tabs>
          <w:tab w:val="left" w:pos="6120"/>
        </w:tabs>
        <w:rPr>
          <w:rFonts w:ascii="Times New Roman" w:hAnsi="Times New Roman"/>
          <w:sz w:val="24"/>
          <w:szCs w:val="24"/>
        </w:rPr>
      </w:pPr>
      <w:r>
        <w:rPr>
          <w:rFonts w:ascii="Times New Roman" w:hAnsi="Times New Roman"/>
          <w:sz w:val="24"/>
          <w:szCs w:val="24"/>
        </w:rPr>
        <w:t>Each review or approval examines an important facet of a project</w:t>
      </w:r>
      <w:r w:rsidR="00030A59">
        <w:rPr>
          <w:rFonts w:ascii="Times New Roman" w:hAnsi="Times New Roman"/>
          <w:sz w:val="24"/>
          <w:szCs w:val="24"/>
        </w:rPr>
        <w:t>,</w:t>
      </w:r>
      <w:r>
        <w:rPr>
          <w:rFonts w:ascii="Times New Roman" w:hAnsi="Times New Roman"/>
          <w:sz w:val="24"/>
          <w:szCs w:val="24"/>
        </w:rPr>
        <w:t xml:space="preserve"> and </w:t>
      </w:r>
      <w:r w:rsidR="00030A59">
        <w:rPr>
          <w:rFonts w:ascii="Times New Roman" w:hAnsi="Times New Roman"/>
          <w:sz w:val="24"/>
          <w:szCs w:val="24"/>
        </w:rPr>
        <w:t xml:space="preserve">the options of appealing decisions or challenging them in court ensures due process </w:t>
      </w:r>
      <w:r>
        <w:rPr>
          <w:rFonts w:ascii="Times New Roman" w:hAnsi="Times New Roman"/>
          <w:sz w:val="24"/>
          <w:szCs w:val="24"/>
        </w:rPr>
        <w:t xml:space="preserve">for developers and residents alike. However, these steps also provide many ways to stop or delay projects.  </w:t>
      </w:r>
      <w:r w:rsidR="00CD610C">
        <w:rPr>
          <w:rFonts w:ascii="Times New Roman" w:hAnsi="Times New Roman"/>
          <w:sz w:val="24"/>
          <w:szCs w:val="24"/>
        </w:rPr>
        <w:t xml:space="preserve">Without each of these approvals, a project cannot move forward.  </w:t>
      </w:r>
      <w:r w:rsidR="008701C3">
        <w:rPr>
          <w:rFonts w:ascii="Times New Roman" w:hAnsi="Times New Roman"/>
          <w:sz w:val="24"/>
          <w:szCs w:val="24"/>
        </w:rPr>
        <w:t>Other projects</w:t>
      </w:r>
      <w:r w:rsidR="00CD610C">
        <w:rPr>
          <w:rFonts w:ascii="Times New Roman" w:hAnsi="Times New Roman"/>
          <w:sz w:val="24"/>
          <w:szCs w:val="24"/>
        </w:rPr>
        <w:t xml:space="preserve"> experience delays </w:t>
      </w:r>
      <w:proofErr w:type="gramStart"/>
      <w:r w:rsidR="00CD610C">
        <w:rPr>
          <w:rFonts w:ascii="Times New Roman" w:hAnsi="Times New Roman"/>
          <w:sz w:val="24"/>
          <w:szCs w:val="24"/>
        </w:rPr>
        <w:t>a</w:t>
      </w:r>
      <w:r>
        <w:rPr>
          <w:rFonts w:ascii="Times New Roman" w:hAnsi="Times New Roman"/>
          <w:sz w:val="24"/>
          <w:szCs w:val="24"/>
        </w:rPr>
        <w:t>s a result</w:t>
      </w:r>
      <w:proofErr w:type="gramEnd"/>
      <w:r>
        <w:rPr>
          <w:rFonts w:ascii="Times New Roman" w:hAnsi="Times New Roman"/>
          <w:sz w:val="24"/>
          <w:szCs w:val="24"/>
        </w:rPr>
        <w:t xml:space="preserve"> of these processes, which ties up the resources of builders that they could be using to construct additional housing.</w:t>
      </w:r>
    </w:p>
    <w:p w14:paraId="11C7884D" w14:textId="271E3940" w:rsidR="008701C3" w:rsidRDefault="008701C3" w:rsidP="008E6B87">
      <w:pPr>
        <w:tabs>
          <w:tab w:val="left" w:pos="6120"/>
        </w:tabs>
        <w:rPr>
          <w:rFonts w:ascii="Times New Roman" w:hAnsi="Times New Roman"/>
          <w:sz w:val="24"/>
          <w:szCs w:val="24"/>
        </w:rPr>
      </w:pPr>
      <w:r>
        <w:rPr>
          <w:rFonts w:ascii="Times New Roman" w:hAnsi="Times New Roman"/>
          <w:sz w:val="24"/>
          <w:szCs w:val="24"/>
        </w:rPr>
        <w:lastRenderedPageBreak/>
        <w:t>The above challenges taken together can significantly deter housing construction.  A 2016 analysis by Trulia Research found that length of approval processes, rather than zoning constraints, was a better predictor of whether a local jurisdiction provides enough housing to keep up with demand.</w:t>
      </w:r>
      <w:r>
        <w:rPr>
          <w:rStyle w:val="FootnoteReference"/>
          <w:rFonts w:ascii="Times New Roman" w:hAnsi="Times New Roman"/>
          <w:sz w:val="24"/>
          <w:szCs w:val="24"/>
        </w:rPr>
        <w:footnoteReference w:id="7"/>
      </w:r>
      <w:r>
        <w:rPr>
          <w:rFonts w:ascii="Times New Roman" w:hAnsi="Times New Roman"/>
          <w:sz w:val="24"/>
          <w:szCs w:val="24"/>
        </w:rPr>
        <w:t xml:space="preserve">  </w:t>
      </w:r>
    </w:p>
    <w:p w14:paraId="3D6AD7AA" w14:textId="65E8BDE0" w:rsidR="00F718FA" w:rsidRPr="008E6B87" w:rsidRDefault="005F4C82" w:rsidP="006B1100">
      <w:pPr>
        <w:tabs>
          <w:tab w:val="left" w:pos="6120"/>
        </w:tabs>
        <w:rPr>
          <w:rFonts w:ascii="Times New Roman" w:hAnsi="Times New Roman"/>
          <w:sz w:val="24"/>
          <w:szCs w:val="24"/>
        </w:rPr>
      </w:pPr>
      <w:proofErr w:type="spellStart"/>
      <w:r>
        <w:rPr>
          <w:rFonts w:ascii="Times New Roman" w:hAnsi="Times New Roman"/>
          <w:b/>
          <w:i/>
          <w:sz w:val="24"/>
        </w:rPr>
        <w:t>Fiscalization</w:t>
      </w:r>
      <w:proofErr w:type="spellEnd"/>
      <w:r>
        <w:rPr>
          <w:rFonts w:ascii="Times New Roman" w:hAnsi="Times New Roman"/>
          <w:b/>
          <w:i/>
          <w:sz w:val="24"/>
        </w:rPr>
        <w:t xml:space="preserve"> of Land Use.  </w:t>
      </w:r>
      <w:r w:rsidR="00F718FA" w:rsidRPr="00F718FA">
        <w:rPr>
          <w:rFonts w:ascii="Times New Roman" w:hAnsi="Times New Roman"/>
          <w:sz w:val="24"/>
        </w:rPr>
        <w:t xml:space="preserve">A series of propositions have drastically cut into local revenue sources, requiring local governments to look elsewhere to fund services that the public demands.  </w:t>
      </w:r>
      <w:r w:rsidR="00B42CC2">
        <w:rPr>
          <w:rFonts w:ascii="Times New Roman" w:hAnsi="Times New Roman"/>
          <w:sz w:val="24"/>
        </w:rPr>
        <w:t xml:space="preserve">First, </w:t>
      </w:r>
      <w:r w:rsidR="00F718FA" w:rsidRPr="00F718FA">
        <w:rPr>
          <w:rFonts w:ascii="Times New Roman" w:hAnsi="Times New Roman"/>
          <w:sz w:val="24"/>
        </w:rPr>
        <w:t>Proposition 13</w:t>
      </w:r>
      <w:r w:rsidR="00F718FA">
        <w:rPr>
          <w:rFonts w:ascii="Times New Roman" w:hAnsi="Times New Roman"/>
          <w:sz w:val="24"/>
        </w:rPr>
        <w:t xml:space="preserve"> (1978)</w:t>
      </w:r>
      <w:r w:rsidR="00F718FA" w:rsidRPr="00F718FA">
        <w:rPr>
          <w:rFonts w:ascii="Times New Roman" w:hAnsi="Times New Roman"/>
          <w:sz w:val="24"/>
        </w:rPr>
        <w:t xml:space="preserve"> capped property tax rates at 1% of assessed value (which only changes when ownership changes) and required 2/3rds voter approval for special taxes</w:t>
      </w:r>
      <w:r w:rsidR="00F261A5">
        <w:rPr>
          <w:rFonts w:ascii="Times New Roman" w:hAnsi="Times New Roman"/>
          <w:sz w:val="24"/>
        </w:rPr>
        <w:t xml:space="preserve">; as a </w:t>
      </w:r>
      <w:r w:rsidR="00F261A5" w:rsidRPr="006D2BA6">
        <w:rPr>
          <w:rFonts w:ascii="Times New Roman" w:hAnsi="Times New Roman"/>
          <w:sz w:val="24"/>
        </w:rPr>
        <w:t>result</w:t>
      </w:r>
      <w:r w:rsidR="00F718FA" w:rsidRPr="006D2BA6">
        <w:rPr>
          <w:rFonts w:ascii="Times New Roman" w:hAnsi="Times New Roman"/>
          <w:sz w:val="24"/>
        </w:rPr>
        <w:t xml:space="preserve"> local governments turned to general taxes</w:t>
      </w:r>
      <w:r w:rsidR="00F261A5" w:rsidRPr="006D2BA6">
        <w:rPr>
          <w:rFonts w:ascii="Times New Roman" w:hAnsi="Times New Roman"/>
          <w:sz w:val="24"/>
        </w:rPr>
        <w:t xml:space="preserve"> to avoid the higher voter threshold</w:t>
      </w:r>
      <w:r w:rsidR="00F718FA" w:rsidRPr="006D2BA6">
        <w:rPr>
          <w:rFonts w:ascii="Times New Roman" w:hAnsi="Times New Roman"/>
          <w:sz w:val="24"/>
        </w:rPr>
        <w:t>.</w:t>
      </w:r>
      <w:r w:rsidR="00F718FA" w:rsidRPr="00F718FA">
        <w:rPr>
          <w:rFonts w:ascii="Times New Roman" w:hAnsi="Times New Roman"/>
          <w:sz w:val="24"/>
        </w:rPr>
        <w:t xml:space="preserve">  When Proposition 62 (1986) required majority voter approval of general taxes, local governments imposed assessments that </w:t>
      </w:r>
      <w:proofErr w:type="gramStart"/>
      <w:r w:rsidR="00F718FA" w:rsidRPr="00F718FA">
        <w:rPr>
          <w:rFonts w:ascii="Times New Roman" w:hAnsi="Times New Roman"/>
          <w:sz w:val="24"/>
        </w:rPr>
        <w:t>were more closely tied</w:t>
      </w:r>
      <w:proofErr w:type="gramEnd"/>
      <w:r w:rsidR="00F718FA" w:rsidRPr="00F718FA">
        <w:rPr>
          <w:rFonts w:ascii="Times New Roman" w:hAnsi="Times New Roman"/>
          <w:sz w:val="24"/>
        </w:rPr>
        <w:t xml:space="preserve"> to the benefit that an individual property owner receives.  Subsequently, Proposition 218 (1996) required voter approval of parcel taxes, assessments, and property-related fees.  </w:t>
      </w:r>
    </w:p>
    <w:p w14:paraId="7AA361CA" w14:textId="7E400E9A" w:rsidR="00BB3E2F" w:rsidRPr="00D3767D" w:rsidRDefault="004F455F" w:rsidP="00DD5F4E">
      <w:pPr>
        <w:tabs>
          <w:tab w:val="left" w:pos="6120"/>
        </w:tabs>
        <w:rPr>
          <w:rFonts w:ascii="Times New Roman" w:hAnsi="Times New Roman"/>
          <w:sz w:val="24"/>
          <w:szCs w:val="24"/>
        </w:rPr>
      </w:pPr>
      <w:r>
        <w:rPr>
          <w:rFonts w:ascii="Times New Roman" w:hAnsi="Times New Roman"/>
          <w:sz w:val="24"/>
          <w:szCs w:val="24"/>
        </w:rPr>
        <w:t>I</w:t>
      </w:r>
      <w:r w:rsidR="004F6312">
        <w:rPr>
          <w:rFonts w:ascii="Times New Roman" w:hAnsi="Times New Roman"/>
          <w:sz w:val="24"/>
          <w:szCs w:val="24"/>
        </w:rPr>
        <w:t>n response to the reduction in prop</w:t>
      </w:r>
      <w:r w:rsidR="00943EC5">
        <w:rPr>
          <w:rFonts w:ascii="Times New Roman" w:hAnsi="Times New Roman"/>
          <w:sz w:val="24"/>
          <w:szCs w:val="24"/>
        </w:rPr>
        <w:t>erty tax</w:t>
      </w:r>
      <w:r w:rsidR="004F6312">
        <w:rPr>
          <w:rFonts w:ascii="Times New Roman" w:hAnsi="Times New Roman"/>
          <w:sz w:val="24"/>
          <w:szCs w:val="24"/>
        </w:rPr>
        <w:t xml:space="preserve"> revenues from Proposition 13 and </w:t>
      </w:r>
      <w:r w:rsidR="00CD2EB6">
        <w:rPr>
          <w:rFonts w:ascii="Times New Roman" w:hAnsi="Times New Roman"/>
          <w:sz w:val="24"/>
          <w:szCs w:val="24"/>
        </w:rPr>
        <w:t>the difficulty of raising taxes</w:t>
      </w:r>
      <w:r w:rsidR="004F6312">
        <w:rPr>
          <w:rFonts w:ascii="Times New Roman" w:hAnsi="Times New Roman"/>
          <w:sz w:val="24"/>
          <w:szCs w:val="24"/>
        </w:rPr>
        <w:t xml:space="preserve">, local governments have turned to other sources of funds for general operations, including sales taxes and hotel taxes.  These taxes </w:t>
      </w:r>
      <w:proofErr w:type="gramStart"/>
      <w:r w:rsidR="004F6312">
        <w:rPr>
          <w:rFonts w:ascii="Times New Roman" w:hAnsi="Times New Roman"/>
          <w:sz w:val="24"/>
          <w:szCs w:val="24"/>
        </w:rPr>
        <w:t>are paid</w:t>
      </w:r>
      <w:proofErr w:type="gramEnd"/>
      <w:r w:rsidR="004F6312">
        <w:rPr>
          <w:rFonts w:ascii="Times New Roman" w:hAnsi="Times New Roman"/>
          <w:sz w:val="24"/>
          <w:szCs w:val="24"/>
        </w:rPr>
        <w:t xml:space="preserve"> exclusively by comm</w:t>
      </w:r>
      <w:r w:rsidR="00943EC5">
        <w:rPr>
          <w:rFonts w:ascii="Times New Roman" w:hAnsi="Times New Roman"/>
          <w:sz w:val="24"/>
          <w:szCs w:val="24"/>
        </w:rPr>
        <w:t xml:space="preserve">ercial developments, which simultaneously pay property taxes and </w:t>
      </w:r>
      <w:r w:rsidR="004F6312">
        <w:rPr>
          <w:rFonts w:ascii="Times New Roman" w:hAnsi="Times New Roman"/>
          <w:sz w:val="24"/>
          <w:szCs w:val="24"/>
        </w:rPr>
        <w:t xml:space="preserve">demand </w:t>
      </w:r>
      <w:r w:rsidR="00943EC5">
        <w:rPr>
          <w:rFonts w:ascii="Times New Roman" w:hAnsi="Times New Roman"/>
          <w:sz w:val="24"/>
          <w:szCs w:val="24"/>
        </w:rPr>
        <w:t xml:space="preserve">relatively few </w:t>
      </w:r>
      <w:r w:rsidR="004F6312">
        <w:rPr>
          <w:rFonts w:ascii="Times New Roman" w:hAnsi="Times New Roman"/>
          <w:sz w:val="24"/>
          <w:szCs w:val="24"/>
        </w:rPr>
        <w:t xml:space="preserve">services </w:t>
      </w:r>
      <w:r w:rsidR="002C1EF0">
        <w:rPr>
          <w:rFonts w:ascii="Times New Roman" w:hAnsi="Times New Roman"/>
          <w:sz w:val="24"/>
          <w:szCs w:val="24"/>
        </w:rPr>
        <w:t xml:space="preserve">(such as </w:t>
      </w:r>
      <w:r w:rsidR="00943EC5">
        <w:rPr>
          <w:rFonts w:ascii="Times New Roman" w:hAnsi="Times New Roman"/>
          <w:sz w:val="24"/>
          <w:szCs w:val="24"/>
        </w:rPr>
        <w:t>public safety or parks).  Residential development</w:t>
      </w:r>
      <w:r w:rsidR="00B42CC2">
        <w:rPr>
          <w:rFonts w:ascii="Times New Roman" w:hAnsi="Times New Roman"/>
          <w:sz w:val="24"/>
          <w:szCs w:val="24"/>
        </w:rPr>
        <w:t>s</w:t>
      </w:r>
      <w:r w:rsidR="00943EC5">
        <w:rPr>
          <w:rFonts w:ascii="Times New Roman" w:hAnsi="Times New Roman"/>
          <w:sz w:val="24"/>
          <w:szCs w:val="24"/>
        </w:rPr>
        <w:t xml:space="preserve">, by contrast, do not directly generate sales or hotel tax revenue, and the new residents demand a wider variety of more intensive services.  As a result, cities and counties face a disincentive to approve housing because of the higher net fiscal cost of residential development, particularly if they have the option </w:t>
      </w:r>
      <w:proofErr w:type="gramStart"/>
      <w:r w:rsidR="00943EC5">
        <w:rPr>
          <w:rFonts w:ascii="Times New Roman" w:hAnsi="Times New Roman"/>
          <w:sz w:val="24"/>
          <w:szCs w:val="24"/>
        </w:rPr>
        <w:t>to instead permit</w:t>
      </w:r>
      <w:proofErr w:type="gramEnd"/>
      <w:r w:rsidR="00943EC5">
        <w:rPr>
          <w:rFonts w:ascii="Times New Roman" w:hAnsi="Times New Roman"/>
          <w:sz w:val="24"/>
          <w:szCs w:val="24"/>
        </w:rPr>
        <w:t xml:space="preserve"> commercial development that may produce net fiscal </w:t>
      </w:r>
      <w:r w:rsidR="00943EC5" w:rsidRPr="00943EC5">
        <w:rPr>
          <w:rFonts w:ascii="Times New Roman" w:hAnsi="Times New Roman"/>
          <w:i/>
          <w:sz w:val="24"/>
          <w:szCs w:val="24"/>
        </w:rPr>
        <w:t>benefi</w:t>
      </w:r>
      <w:r w:rsidR="00943EC5" w:rsidRPr="00D3767D">
        <w:rPr>
          <w:rFonts w:ascii="Times New Roman" w:hAnsi="Times New Roman"/>
          <w:i/>
          <w:sz w:val="24"/>
          <w:szCs w:val="24"/>
        </w:rPr>
        <w:t>ts</w:t>
      </w:r>
      <w:r w:rsidR="00943EC5" w:rsidRPr="00D3767D">
        <w:rPr>
          <w:rFonts w:ascii="Times New Roman" w:hAnsi="Times New Roman"/>
          <w:sz w:val="24"/>
          <w:szCs w:val="24"/>
        </w:rPr>
        <w:t>.</w:t>
      </w:r>
      <w:r w:rsidR="00DD5F4E" w:rsidRPr="00D3767D">
        <w:rPr>
          <w:rFonts w:ascii="Times New Roman" w:hAnsi="Times New Roman"/>
          <w:sz w:val="24"/>
          <w:szCs w:val="24"/>
        </w:rPr>
        <w:t xml:space="preserve"> </w:t>
      </w:r>
    </w:p>
    <w:p w14:paraId="051BF6E2" w14:textId="04712598" w:rsidR="00943EC5" w:rsidRPr="00DD5F4E" w:rsidRDefault="004F455F" w:rsidP="005061DD">
      <w:pPr>
        <w:tabs>
          <w:tab w:val="left" w:pos="6120"/>
        </w:tabs>
        <w:rPr>
          <w:rFonts w:ascii="Times New Roman" w:hAnsi="Times New Roman"/>
          <w:sz w:val="24"/>
          <w:szCs w:val="24"/>
        </w:rPr>
      </w:pPr>
      <w:r>
        <w:rPr>
          <w:rFonts w:ascii="Times New Roman" w:hAnsi="Times New Roman"/>
          <w:sz w:val="24"/>
          <w:szCs w:val="24"/>
        </w:rPr>
        <w:t>Furthermore</w:t>
      </w:r>
      <w:r w:rsidR="00943EC5" w:rsidRPr="00DD5F4E">
        <w:rPr>
          <w:rFonts w:ascii="Times New Roman" w:hAnsi="Times New Roman"/>
          <w:sz w:val="24"/>
          <w:szCs w:val="24"/>
        </w:rPr>
        <w:t xml:space="preserve">, because these initiatives made it harder for local governments to spread the cost of infrastructure and services over the entire community, local governments have turned to </w:t>
      </w:r>
      <w:r w:rsidR="00FA23C9" w:rsidRPr="00DD5F4E">
        <w:rPr>
          <w:rFonts w:ascii="Times New Roman" w:hAnsi="Times New Roman"/>
          <w:sz w:val="24"/>
          <w:szCs w:val="24"/>
        </w:rPr>
        <w:t>developer fees</w:t>
      </w:r>
      <w:r w:rsidR="006D2BA6">
        <w:rPr>
          <w:rFonts w:ascii="Times New Roman" w:hAnsi="Times New Roman"/>
          <w:sz w:val="24"/>
          <w:szCs w:val="24"/>
        </w:rPr>
        <w:t xml:space="preserve"> and other assessments or taxes</w:t>
      </w:r>
      <w:r w:rsidR="005B6A29" w:rsidRPr="00DD5F4E">
        <w:rPr>
          <w:rFonts w:ascii="Times New Roman" w:hAnsi="Times New Roman"/>
          <w:sz w:val="24"/>
          <w:szCs w:val="24"/>
        </w:rPr>
        <w:t xml:space="preserve"> </w:t>
      </w:r>
      <w:r w:rsidR="00943EC5" w:rsidRPr="00DD5F4E">
        <w:rPr>
          <w:rFonts w:ascii="Times New Roman" w:hAnsi="Times New Roman"/>
          <w:sz w:val="24"/>
          <w:szCs w:val="24"/>
        </w:rPr>
        <w:t xml:space="preserve">levied on new development to </w:t>
      </w:r>
      <w:r w:rsidR="00927E43" w:rsidRPr="00DD5F4E">
        <w:rPr>
          <w:rFonts w:ascii="Times New Roman" w:hAnsi="Times New Roman"/>
          <w:sz w:val="24"/>
          <w:szCs w:val="24"/>
        </w:rPr>
        <w:t xml:space="preserve">pay for the services used by new residents and businesses.  </w:t>
      </w:r>
      <w:r w:rsidR="00030A59">
        <w:rPr>
          <w:rFonts w:ascii="Times New Roman" w:hAnsi="Times New Roman"/>
          <w:sz w:val="24"/>
          <w:szCs w:val="24"/>
        </w:rPr>
        <w:t xml:space="preserve">As discussed above, some local governments may set artificially restrictive zoning rules to provide </w:t>
      </w:r>
      <w:proofErr w:type="gramStart"/>
      <w:r w:rsidR="00030A59">
        <w:rPr>
          <w:rFonts w:ascii="Times New Roman" w:hAnsi="Times New Roman"/>
          <w:sz w:val="24"/>
          <w:szCs w:val="24"/>
        </w:rPr>
        <w:t>leverage</w:t>
      </w:r>
      <w:proofErr w:type="gramEnd"/>
      <w:r w:rsidR="00030A59">
        <w:rPr>
          <w:rFonts w:ascii="Times New Roman" w:hAnsi="Times New Roman"/>
          <w:sz w:val="24"/>
          <w:szCs w:val="24"/>
        </w:rPr>
        <w:t xml:space="preserve"> over developers when negotiating financial contributions to local services. </w:t>
      </w:r>
      <w:r w:rsidR="00D65807">
        <w:rPr>
          <w:rFonts w:ascii="Times New Roman" w:hAnsi="Times New Roman"/>
          <w:sz w:val="24"/>
          <w:szCs w:val="24"/>
        </w:rPr>
        <w:t xml:space="preserve"> </w:t>
      </w:r>
      <w:r w:rsidR="00DD5F4E">
        <w:rPr>
          <w:rFonts w:ascii="Times New Roman" w:hAnsi="Times New Roman"/>
          <w:sz w:val="24"/>
          <w:szCs w:val="24"/>
        </w:rPr>
        <w:t>To the extent that developer fees reduce housing production</w:t>
      </w:r>
      <w:r w:rsidR="00815126">
        <w:rPr>
          <w:rFonts w:ascii="Times New Roman" w:hAnsi="Times New Roman"/>
          <w:sz w:val="24"/>
          <w:szCs w:val="24"/>
        </w:rPr>
        <w:t xml:space="preserve">, the </w:t>
      </w:r>
      <w:proofErr w:type="spellStart"/>
      <w:r w:rsidR="00815126">
        <w:rPr>
          <w:rFonts w:ascii="Times New Roman" w:hAnsi="Times New Roman"/>
          <w:sz w:val="24"/>
          <w:szCs w:val="24"/>
        </w:rPr>
        <w:t>fiscalization</w:t>
      </w:r>
      <w:proofErr w:type="spellEnd"/>
      <w:r w:rsidR="00815126">
        <w:rPr>
          <w:rFonts w:ascii="Times New Roman" w:hAnsi="Times New Roman"/>
          <w:sz w:val="24"/>
          <w:szCs w:val="24"/>
        </w:rPr>
        <w:t xml:space="preserve"> of land use also exacerbates this concern.</w:t>
      </w:r>
    </w:p>
    <w:p w14:paraId="546177D1" w14:textId="40DBF090" w:rsidR="006B1100" w:rsidRPr="006B1100" w:rsidRDefault="006B1100" w:rsidP="006B1100">
      <w:pPr>
        <w:tabs>
          <w:tab w:val="left" w:pos="6120"/>
        </w:tabs>
        <w:rPr>
          <w:rFonts w:ascii="Times New Roman" w:hAnsi="Times New Roman"/>
          <w:b/>
          <w:sz w:val="28"/>
          <w:szCs w:val="24"/>
        </w:rPr>
      </w:pPr>
      <w:r w:rsidRPr="006B1100">
        <w:rPr>
          <w:rFonts w:ascii="Times New Roman" w:hAnsi="Times New Roman"/>
          <w:b/>
          <w:sz w:val="28"/>
          <w:szCs w:val="24"/>
        </w:rPr>
        <w:t>Effects of Restrictive Land</w:t>
      </w:r>
      <w:r w:rsidR="009E0940">
        <w:rPr>
          <w:rFonts w:ascii="Times New Roman" w:hAnsi="Times New Roman"/>
          <w:b/>
          <w:sz w:val="28"/>
          <w:szCs w:val="24"/>
        </w:rPr>
        <w:t xml:space="preserve"> Use Policies</w:t>
      </w:r>
    </w:p>
    <w:p w14:paraId="25B0DF76" w14:textId="59C3065B" w:rsidR="00A43AF4" w:rsidRDefault="00A43AF4" w:rsidP="008E6B87">
      <w:pPr>
        <w:tabs>
          <w:tab w:val="left" w:pos="6120"/>
        </w:tabs>
        <w:rPr>
          <w:rFonts w:ascii="Times New Roman" w:hAnsi="Times New Roman"/>
          <w:sz w:val="24"/>
          <w:szCs w:val="24"/>
        </w:rPr>
      </w:pPr>
      <w:r>
        <w:rPr>
          <w:rFonts w:ascii="Times New Roman" w:hAnsi="Times New Roman"/>
          <w:sz w:val="24"/>
          <w:szCs w:val="24"/>
        </w:rPr>
        <w:t>The consequence of the above barriers is that housing production has not kept up with the increase in population in many parts of California.  For example, b</w:t>
      </w:r>
      <w:r w:rsidRPr="00F1508C">
        <w:rPr>
          <w:rFonts w:ascii="Times New Roman" w:hAnsi="Times New Roman"/>
          <w:sz w:val="24"/>
          <w:szCs w:val="24"/>
        </w:rPr>
        <w:t xml:space="preserve">etween 2010 and 2015, </w:t>
      </w:r>
      <w:r>
        <w:rPr>
          <w:rFonts w:ascii="Times New Roman" w:hAnsi="Times New Roman"/>
          <w:sz w:val="24"/>
          <w:szCs w:val="24"/>
        </w:rPr>
        <w:t xml:space="preserve">the City </w:t>
      </w:r>
      <w:r w:rsidR="00CD2EB6">
        <w:rPr>
          <w:rFonts w:ascii="Times New Roman" w:hAnsi="Times New Roman"/>
          <w:sz w:val="24"/>
          <w:szCs w:val="24"/>
        </w:rPr>
        <w:t xml:space="preserve">and County </w:t>
      </w:r>
      <w:r>
        <w:rPr>
          <w:rFonts w:ascii="Times New Roman" w:hAnsi="Times New Roman"/>
          <w:sz w:val="24"/>
          <w:szCs w:val="24"/>
        </w:rPr>
        <w:t xml:space="preserve">of </w:t>
      </w:r>
      <w:r w:rsidRPr="00F1508C">
        <w:rPr>
          <w:rFonts w:ascii="Times New Roman" w:hAnsi="Times New Roman"/>
          <w:sz w:val="24"/>
          <w:szCs w:val="24"/>
        </w:rPr>
        <w:t xml:space="preserve">San Francisco </w:t>
      </w:r>
      <w:r w:rsidR="006D2BA6">
        <w:rPr>
          <w:rFonts w:ascii="Times New Roman" w:hAnsi="Times New Roman"/>
          <w:sz w:val="24"/>
          <w:szCs w:val="24"/>
        </w:rPr>
        <w:t>permitted</w:t>
      </w:r>
      <w:r w:rsidR="006D2BA6" w:rsidRPr="00F1508C">
        <w:rPr>
          <w:rFonts w:ascii="Times New Roman" w:hAnsi="Times New Roman"/>
          <w:sz w:val="24"/>
          <w:szCs w:val="24"/>
        </w:rPr>
        <w:t xml:space="preserve"> </w:t>
      </w:r>
      <w:r w:rsidRPr="00F1508C">
        <w:rPr>
          <w:rFonts w:ascii="Times New Roman" w:hAnsi="Times New Roman"/>
          <w:sz w:val="24"/>
          <w:szCs w:val="24"/>
        </w:rPr>
        <w:t>one new housing unit for every 8.2 new jobs</w:t>
      </w:r>
      <w:r>
        <w:rPr>
          <w:rFonts w:ascii="Times New Roman" w:hAnsi="Times New Roman"/>
          <w:sz w:val="24"/>
          <w:szCs w:val="24"/>
        </w:rPr>
        <w:t xml:space="preserve">; </w:t>
      </w:r>
      <w:r>
        <w:rPr>
          <w:rFonts w:ascii="Times New Roman" w:hAnsi="Times New Roman"/>
          <w:sz w:val="24"/>
          <w:szCs w:val="24"/>
        </w:rPr>
        <w:lastRenderedPageBreak/>
        <w:t>throughout the entire Bay Area, local governments permitted one unit</w:t>
      </w:r>
      <w:r w:rsidRPr="00F1508C">
        <w:rPr>
          <w:rFonts w:ascii="Times New Roman" w:hAnsi="Times New Roman"/>
          <w:sz w:val="24"/>
          <w:szCs w:val="24"/>
        </w:rPr>
        <w:t xml:space="preserve"> for every </w:t>
      </w:r>
      <w:r>
        <w:rPr>
          <w:rFonts w:ascii="Times New Roman" w:hAnsi="Times New Roman"/>
          <w:sz w:val="24"/>
          <w:szCs w:val="24"/>
        </w:rPr>
        <w:t>6.8</w:t>
      </w:r>
      <w:r w:rsidRPr="00F1508C">
        <w:rPr>
          <w:rFonts w:ascii="Times New Roman" w:hAnsi="Times New Roman"/>
          <w:sz w:val="24"/>
          <w:szCs w:val="24"/>
        </w:rPr>
        <w:t xml:space="preserve"> jobs.</w:t>
      </w:r>
      <w:r>
        <w:rPr>
          <w:rStyle w:val="FootnoteReference"/>
          <w:rFonts w:ascii="Times New Roman" w:hAnsi="Times New Roman"/>
          <w:sz w:val="24"/>
          <w:szCs w:val="24"/>
        </w:rPr>
        <w:footnoteReference w:id="8"/>
      </w:r>
      <w:r>
        <w:rPr>
          <w:rFonts w:ascii="Times New Roman" w:hAnsi="Times New Roman"/>
          <w:sz w:val="24"/>
          <w:szCs w:val="24"/>
        </w:rPr>
        <w:t xml:space="preserve">  As a result, land use restrictions can have various negative consequences, including higher housing prices</w:t>
      </w:r>
      <w:r w:rsidR="00FE1194">
        <w:rPr>
          <w:rFonts w:ascii="Times New Roman" w:hAnsi="Times New Roman"/>
          <w:sz w:val="24"/>
          <w:szCs w:val="24"/>
        </w:rPr>
        <w:t>, increased displacement and segregation, lower economic growth, and negative transportation and environmental impacts.</w:t>
      </w:r>
    </w:p>
    <w:p w14:paraId="568E91CE" w14:textId="4B28FCDF" w:rsidR="00C34D30" w:rsidRDefault="00A43AF4" w:rsidP="008E6B87">
      <w:pPr>
        <w:tabs>
          <w:tab w:val="left" w:pos="6120"/>
        </w:tabs>
        <w:rPr>
          <w:rFonts w:ascii="Times New Roman" w:hAnsi="Times New Roman"/>
          <w:sz w:val="24"/>
          <w:szCs w:val="24"/>
        </w:rPr>
      </w:pPr>
      <w:r>
        <w:rPr>
          <w:rFonts w:ascii="Times New Roman" w:hAnsi="Times New Roman"/>
          <w:b/>
          <w:i/>
          <w:sz w:val="24"/>
          <w:szCs w:val="24"/>
        </w:rPr>
        <w:t>Higher Housing</w:t>
      </w:r>
      <w:r w:rsidR="009E0940">
        <w:rPr>
          <w:rFonts w:ascii="Times New Roman" w:hAnsi="Times New Roman"/>
          <w:b/>
          <w:i/>
          <w:sz w:val="24"/>
          <w:szCs w:val="24"/>
        </w:rPr>
        <w:t xml:space="preserve"> Prices.</w:t>
      </w:r>
      <w:r w:rsidR="008E6B87" w:rsidRPr="008E6B87">
        <w:rPr>
          <w:rFonts w:ascii="Times New Roman" w:hAnsi="Times New Roman"/>
          <w:sz w:val="24"/>
          <w:szCs w:val="24"/>
        </w:rPr>
        <w:t xml:space="preserve"> </w:t>
      </w:r>
      <w:r w:rsidR="00C34D30">
        <w:rPr>
          <w:rFonts w:ascii="Times New Roman" w:hAnsi="Times New Roman"/>
          <w:sz w:val="24"/>
          <w:szCs w:val="24"/>
        </w:rPr>
        <w:t>There is wide agreement among economists that restrictive land use policies increase housing prices, including findings that:</w:t>
      </w:r>
    </w:p>
    <w:p w14:paraId="7B532683" w14:textId="3343A6EF" w:rsidR="006A5323" w:rsidRDefault="006A5323" w:rsidP="00C34D30">
      <w:pPr>
        <w:pStyle w:val="ListParagraph"/>
        <w:numPr>
          <w:ilvl w:val="0"/>
          <w:numId w:val="22"/>
        </w:numPr>
        <w:tabs>
          <w:tab w:val="left" w:pos="6120"/>
        </w:tabs>
        <w:rPr>
          <w:rFonts w:ascii="Times New Roman" w:hAnsi="Times New Roman"/>
          <w:sz w:val="24"/>
          <w:szCs w:val="24"/>
        </w:rPr>
      </w:pPr>
      <w:r>
        <w:rPr>
          <w:rFonts w:ascii="Times New Roman" w:hAnsi="Times New Roman"/>
          <w:sz w:val="24"/>
          <w:szCs w:val="24"/>
        </w:rPr>
        <w:t>Housing prices in California are higher and increase faster in jurisdictions with stricter land use controls</w:t>
      </w:r>
      <w:r w:rsidR="00A43AF4">
        <w:rPr>
          <w:rFonts w:ascii="Times New Roman" w:hAnsi="Times New Roman"/>
          <w:sz w:val="24"/>
          <w:szCs w:val="24"/>
        </w:rPr>
        <w:t>, and in some markets, each additional regulatory measure increases housing prices by nearly 5%</w:t>
      </w:r>
      <w:r>
        <w:rPr>
          <w:rFonts w:ascii="Times New Roman" w:hAnsi="Times New Roman"/>
          <w:sz w:val="24"/>
          <w:szCs w:val="24"/>
        </w:rPr>
        <w:t>.</w:t>
      </w:r>
      <w:r>
        <w:rPr>
          <w:rStyle w:val="FootnoteReference"/>
          <w:rFonts w:ascii="Times New Roman" w:hAnsi="Times New Roman"/>
          <w:sz w:val="24"/>
          <w:szCs w:val="24"/>
        </w:rPr>
        <w:footnoteReference w:id="9"/>
      </w:r>
    </w:p>
    <w:p w14:paraId="0B71CCF1" w14:textId="62880ABE" w:rsidR="00C34D30" w:rsidRDefault="00C34D30" w:rsidP="00C34D30">
      <w:pPr>
        <w:pStyle w:val="ListParagraph"/>
        <w:numPr>
          <w:ilvl w:val="0"/>
          <w:numId w:val="22"/>
        </w:numPr>
        <w:tabs>
          <w:tab w:val="left" w:pos="6120"/>
        </w:tabs>
        <w:rPr>
          <w:rFonts w:ascii="Times New Roman" w:hAnsi="Times New Roman"/>
          <w:sz w:val="24"/>
          <w:szCs w:val="24"/>
        </w:rPr>
      </w:pPr>
      <w:r>
        <w:rPr>
          <w:rFonts w:ascii="Times New Roman" w:hAnsi="Times New Roman"/>
          <w:sz w:val="24"/>
          <w:szCs w:val="24"/>
        </w:rPr>
        <w:t xml:space="preserve">Cities that </w:t>
      </w:r>
      <w:r w:rsidR="008912D1">
        <w:rPr>
          <w:rFonts w:ascii="Times New Roman" w:hAnsi="Times New Roman"/>
          <w:sz w:val="24"/>
          <w:szCs w:val="24"/>
        </w:rPr>
        <w:t xml:space="preserve">require </w:t>
      </w:r>
      <w:proofErr w:type="gramStart"/>
      <w:r>
        <w:rPr>
          <w:rFonts w:ascii="Times New Roman" w:hAnsi="Times New Roman"/>
          <w:sz w:val="24"/>
          <w:szCs w:val="24"/>
        </w:rPr>
        <w:t>more independent reviews</w:t>
      </w:r>
      <w:proofErr w:type="gramEnd"/>
      <w:r>
        <w:rPr>
          <w:rFonts w:ascii="Times New Roman" w:hAnsi="Times New Roman"/>
          <w:sz w:val="24"/>
          <w:szCs w:val="24"/>
        </w:rPr>
        <w:t xml:space="preserve"> prior to obtaining a zoning change or building permit have higher land prices, which are a major component of housing prices.  For example, reducing the number of reviews required for a building permit by three would reduce housing prices in the </w:t>
      </w:r>
      <w:r w:rsidR="00F261A5">
        <w:rPr>
          <w:rFonts w:ascii="Times New Roman" w:hAnsi="Times New Roman"/>
          <w:sz w:val="24"/>
          <w:szCs w:val="24"/>
        </w:rPr>
        <w:t>San Francisco B</w:t>
      </w:r>
      <w:r>
        <w:rPr>
          <w:rFonts w:ascii="Times New Roman" w:hAnsi="Times New Roman"/>
          <w:sz w:val="24"/>
          <w:szCs w:val="24"/>
        </w:rPr>
        <w:t xml:space="preserve">ay </w:t>
      </w:r>
      <w:r w:rsidR="00F261A5">
        <w:rPr>
          <w:rFonts w:ascii="Times New Roman" w:hAnsi="Times New Roman"/>
          <w:sz w:val="24"/>
          <w:szCs w:val="24"/>
        </w:rPr>
        <w:t>A</w:t>
      </w:r>
      <w:r>
        <w:rPr>
          <w:rFonts w:ascii="Times New Roman" w:hAnsi="Times New Roman"/>
          <w:sz w:val="24"/>
          <w:szCs w:val="24"/>
        </w:rPr>
        <w:t>rea by 4-8%.</w:t>
      </w:r>
      <w:r>
        <w:rPr>
          <w:rStyle w:val="FootnoteReference"/>
          <w:rFonts w:ascii="Times New Roman" w:hAnsi="Times New Roman"/>
          <w:sz w:val="24"/>
          <w:szCs w:val="24"/>
        </w:rPr>
        <w:footnoteReference w:id="10"/>
      </w:r>
      <w:r>
        <w:rPr>
          <w:rFonts w:ascii="Times New Roman" w:hAnsi="Times New Roman"/>
          <w:sz w:val="24"/>
          <w:szCs w:val="24"/>
        </w:rPr>
        <w:t xml:space="preserve">  </w:t>
      </w:r>
    </w:p>
    <w:p w14:paraId="03C9B1F6" w14:textId="7905F3A1" w:rsidR="008E6B87" w:rsidRDefault="00C34D30" w:rsidP="00C34D30">
      <w:pPr>
        <w:pStyle w:val="ListParagraph"/>
        <w:numPr>
          <w:ilvl w:val="0"/>
          <w:numId w:val="22"/>
        </w:numPr>
        <w:tabs>
          <w:tab w:val="left" w:pos="6120"/>
        </w:tabs>
        <w:rPr>
          <w:rFonts w:ascii="Times New Roman" w:hAnsi="Times New Roman"/>
          <w:sz w:val="24"/>
          <w:szCs w:val="24"/>
        </w:rPr>
      </w:pPr>
      <w:r>
        <w:rPr>
          <w:rFonts w:ascii="Times New Roman" w:hAnsi="Times New Roman"/>
          <w:sz w:val="24"/>
          <w:szCs w:val="24"/>
        </w:rPr>
        <w:t>L</w:t>
      </w:r>
      <w:r w:rsidR="008E6B87" w:rsidRPr="00C34D30">
        <w:rPr>
          <w:rFonts w:ascii="Times New Roman" w:hAnsi="Times New Roman"/>
          <w:sz w:val="24"/>
          <w:szCs w:val="24"/>
        </w:rPr>
        <w:t>and use regulations have a greater impact on</w:t>
      </w:r>
      <w:r w:rsidR="00A43AF4">
        <w:rPr>
          <w:rFonts w:ascii="Times New Roman" w:hAnsi="Times New Roman"/>
          <w:sz w:val="24"/>
          <w:szCs w:val="24"/>
        </w:rPr>
        <w:t xml:space="preserve"> housing</w:t>
      </w:r>
      <w:r w:rsidR="008E6B87" w:rsidRPr="00C34D30">
        <w:rPr>
          <w:rFonts w:ascii="Times New Roman" w:hAnsi="Times New Roman"/>
          <w:sz w:val="24"/>
          <w:szCs w:val="24"/>
        </w:rPr>
        <w:t xml:space="preserve"> price</w:t>
      </w:r>
      <w:r w:rsidR="00A43AF4">
        <w:rPr>
          <w:rFonts w:ascii="Times New Roman" w:hAnsi="Times New Roman"/>
          <w:sz w:val="24"/>
          <w:szCs w:val="24"/>
        </w:rPr>
        <w:t>s</w:t>
      </w:r>
      <w:r w:rsidR="008E6B87" w:rsidRPr="00C34D30">
        <w:rPr>
          <w:rFonts w:ascii="Times New Roman" w:hAnsi="Times New Roman"/>
          <w:sz w:val="24"/>
          <w:szCs w:val="24"/>
        </w:rPr>
        <w:t xml:space="preserve"> in areas that are constrained geographically</w:t>
      </w:r>
      <w:r w:rsidRPr="00C34D30">
        <w:rPr>
          <w:rFonts w:ascii="Times New Roman" w:hAnsi="Times New Roman"/>
          <w:sz w:val="24"/>
          <w:szCs w:val="24"/>
        </w:rPr>
        <w:t>, such as c</w:t>
      </w:r>
      <w:r w:rsidR="008E6B87" w:rsidRPr="00C34D30">
        <w:rPr>
          <w:rFonts w:ascii="Times New Roman" w:hAnsi="Times New Roman"/>
          <w:sz w:val="24"/>
          <w:szCs w:val="24"/>
        </w:rPr>
        <w:t>oastal C</w:t>
      </w:r>
      <w:r w:rsidRPr="00C34D30">
        <w:rPr>
          <w:rFonts w:ascii="Times New Roman" w:hAnsi="Times New Roman"/>
          <w:sz w:val="24"/>
          <w:szCs w:val="24"/>
        </w:rPr>
        <w:t>alifornia, and these jurisdictions are therefore more likely to enact strict zoning controls because it provides greater benefits to existing residents that already own homes.</w:t>
      </w:r>
      <w:r>
        <w:rPr>
          <w:rStyle w:val="FootnoteReference"/>
          <w:rFonts w:ascii="Times New Roman" w:hAnsi="Times New Roman"/>
          <w:sz w:val="24"/>
          <w:szCs w:val="24"/>
        </w:rPr>
        <w:footnoteReference w:id="11"/>
      </w:r>
    </w:p>
    <w:p w14:paraId="2D8FA139" w14:textId="48204DC5" w:rsidR="00B6633A" w:rsidRDefault="0096255A" w:rsidP="002E5702">
      <w:pPr>
        <w:tabs>
          <w:tab w:val="left" w:pos="6120"/>
        </w:tabs>
        <w:rPr>
          <w:rFonts w:ascii="Times New Roman" w:hAnsi="Times New Roman"/>
          <w:sz w:val="24"/>
          <w:szCs w:val="24"/>
        </w:rPr>
      </w:pPr>
      <w:r>
        <w:rPr>
          <w:rFonts w:ascii="Times New Roman" w:hAnsi="Times New Roman"/>
          <w:b/>
          <w:i/>
          <w:sz w:val="24"/>
          <w:szCs w:val="24"/>
        </w:rPr>
        <w:t>Displacement and Segregation.</w:t>
      </w:r>
      <w:r w:rsidR="006A5323">
        <w:rPr>
          <w:rFonts w:ascii="Times New Roman" w:hAnsi="Times New Roman"/>
          <w:sz w:val="24"/>
          <w:szCs w:val="24"/>
        </w:rPr>
        <w:t xml:space="preserve">  Stricter land use controls are also associated with greater displacement and </w:t>
      </w:r>
      <w:r w:rsidR="00A43AF4">
        <w:rPr>
          <w:rFonts w:ascii="Times New Roman" w:hAnsi="Times New Roman"/>
          <w:sz w:val="24"/>
          <w:szCs w:val="24"/>
        </w:rPr>
        <w:t xml:space="preserve">segregation along both income and racial lines.  Both the </w:t>
      </w:r>
      <w:r w:rsidR="00B6633A">
        <w:rPr>
          <w:rFonts w:ascii="Times New Roman" w:hAnsi="Times New Roman"/>
          <w:sz w:val="24"/>
          <w:szCs w:val="24"/>
        </w:rPr>
        <w:t xml:space="preserve">LAO and </w:t>
      </w:r>
      <w:r w:rsidR="00FE1194">
        <w:rPr>
          <w:rFonts w:ascii="Times New Roman" w:hAnsi="Times New Roman"/>
          <w:sz w:val="24"/>
          <w:szCs w:val="24"/>
        </w:rPr>
        <w:t xml:space="preserve">an analysis by the Institute of Governmental Studies (IGS) at the University of California, Berkeley </w:t>
      </w:r>
      <w:r w:rsidR="00A43AF4">
        <w:rPr>
          <w:rFonts w:ascii="Times New Roman" w:hAnsi="Times New Roman"/>
          <w:sz w:val="24"/>
          <w:szCs w:val="24"/>
        </w:rPr>
        <w:t>indicate</w:t>
      </w:r>
      <w:r>
        <w:rPr>
          <w:rFonts w:ascii="Times New Roman" w:hAnsi="Times New Roman"/>
          <w:sz w:val="24"/>
          <w:szCs w:val="24"/>
        </w:rPr>
        <w:t xml:space="preserve"> that building </w:t>
      </w:r>
      <w:r w:rsidR="00A43AF4">
        <w:rPr>
          <w:rFonts w:ascii="Times New Roman" w:hAnsi="Times New Roman"/>
          <w:sz w:val="24"/>
          <w:szCs w:val="24"/>
        </w:rPr>
        <w:t xml:space="preserve">new </w:t>
      </w:r>
      <w:r>
        <w:rPr>
          <w:rFonts w:ascii="Times New Roman" w:hAnsi="Times New Roman"/>
          <w:sz w:val="24"/>
          <w:szCs w:val="24"/>
        </w:rPr>
        <w:t xml:space="preserve">housing </w:t>
      </w:r>
      <w:r w:rsidR="00A43AF4">
        <w:rPr>
          <w:rFonts w:ascii="Times New Roman" w:hAnsi="Times New Roman"/>
          <w:sz w:val="24"/>
          <w:szCs w:val="24"/>
        </w:rPr>
        <w:t>would reduce the likelihood that residents would be displaced in future decades.</w:t>
      </w:r>
      <w:r w:rsidR="00FE1194" w:rsidRPr="00FE1194">
        <w:rPr>
          <w:rStyle w:val="FootnoteReference"/>
          <w:rFonts w:ascii="Times New Roman" w:hAnsi="Times New Roman"/>
          <w:sz w:val="24"/>
          <w:szCs w:val="24"/>
        </w:rPr>
        <w:t xml:space="preserve"> </w:t>
      </w:r>
      <w:r w:rsidR="00FE1194">
        <w:rPr>
          <w:rStyle w:val="FootnoteReference"/>
          <w:rFonts w:ascii="Times New Roman" w:hAnsi="Times New Roman"/>
          <w:sz w:val="24"/>
          <w:szCs w:val="24"/>
        </w:rPr>
        <w:footnoteReference w:id="12"/>
      </w:r>
      <w:r w:rsidR="00A43AF4">
        <w:rPr>
          <w:rFonts w:ascii="Times New Roman" w:hAnsi="Times New Roman"/>
          <w:sz w:val="24"/>
          <w:szCs w:val="24"/>
        </w:rPr>
        <w:t xml:space="preserve">  </w:t>
      </w:r>
      <w:r w:rsidR="00754FCE">
        <w:rPr>
          <w:rFonts w:ascii="Times New Roman" w:hAnsi="Times New Roman"/>
          <w:sz w:val="24"/>
          <w:szCs w:val="24"/>
        </w:rPr>
        <w:t>Restrictive land use regulations also exacerbate segregation by income.</w:t>
      </w:r>
      <w:r w:rsidR="002E5702">
        <w:rPr>
          <w:rStyle w:val="FootnoteReference"/>
          <w:rFonts w:ascii="Times New Roman" w:hAnsi="Times New Roman"/>
          <w:sz w:val="24"/>
          <w:szCs w:val="24"/>
        </w:rPr>
        <w:footnoteReference w:id="13"/>
      </w:r>
      <w:r w:rsidR="00754FCE">
        <w:rPr>
          <w:rFonts w:ascii="Times New Roman" w:hAnsi="Times New Roman"/>
          <w:sz w:val="24"/>
          <w:szCs w:val="24"/>
        </w:rPr>
        <w:t xml:space="preserve">  Specifically, land use restrictions allow hi</w:t>
      </w:r>
      <w:r w:rsidR="002E5702">
        <w:rPr>
          <w:rFonts w:ascii="Times New Roman" w:hAnsi="Times New Roman"/>
          <w:sz w:val="24"/>
          <w:szCs w:val="24"/>
        </w:rPr>
        <w:t xml:space="preserve">gh-income households to cluster, </w:t>
      </w:r>
      <w:r w:rsidR="00CD2EB6">
        <w:rPr>
          <w:rFonts w:ascii="Times New Roman" w:hAnsi="Times New Roman"/>
          <w:sz w:val="24"/>
          <w:szCs w:val="24"/>
        </w:rPr>
        <w:t>excluding</w:t>
      </w:r>
      <w:r w:rsidR="002E5702">
        <w:rPr>
          <w:rFonts w:ascii="Times New Roman" w:hAnsi="Times New Roman"/>
          <w:sz w:val="24"/>
          <w:szCs w:val="24"/>
        </w:rPr>
        <w:t xml:space="preserve"> middle and </w:t>
      </w:r>
      <w:r w:rsidR="002E5702">
        <w:rPr>
          <w:rFonts w:ascii="Times New Roman" w:hAnsi="Times New Roman"/>
          <w:sz w:val="24"/>
          <w:szCs w:val="24"/>
        </w:rPr>
        <w:lastRenderedPageBreak/>
        <w:t xml:space="preserve">lower income households from those areas.  In addition, </w:t>
      </w:r>
      <w:r w:rsidR="00754FCE" w:rsidRPr="00754FCE">
        <w:rPr>
          <w:rFonts w:ascii="Times New Roman" w:hAnsi="Times New Roman"/>
          <w:sz w:val="24"/>
          <w:szCs w:val="24"/>
        </w:rPr>
        <w:t xml:space="preserve">income segregation is </w:t>
      </w:r>
      <w:r w:rsidR="002E5702">
        <w:rPr>
          <w:rFonts w:ascii="Times New Roman" w:hAnsi="Times New Roman"/>
          <w:sz w:val="24"/>
          <w:szCs w:val="24"/>
        </w:rPr>
        <w:t xml:space="preserve">higher in areas where local governments exert more control over land uses, and </w:t>
      </w:r>
      <w:r w:rsidR="00754FCE" w:rsidRPr="00754FCE">
        <w:rPr>
          <w:rFonts w:ascii="Times New Roman" w:hAnsi="Times New Roman"/>
          <w:sz w:val="24"/>
          <w:szCs w:val="24"/>
        </w:rPr>
        <w:t>lower when state governme</w:t>
      </w:r>
      <w:r w:rsidR="00754FCE">
        <w:rPr>
          <w:rFonts w:ascii="Times New Roman" w:hAnsi="Times New Roman"/>
          <w:sz w:val="24"/>
          <w:szCs w:val="24"/>
        </w:rPr>
        <w:t xml:space="preserve">nts have more </w:t>
      </w:r>
      <w:r w:rsidR="00754FCE" w:rsidRPr="00754FCE">
        <w:rPr>
          <w:rFonts w:ascii="Times New Roman" w:hAnsi="Times New Roman"/>
          <w:sz w:val="24"/>
          <w:szCs w:val="24"/>
        </w:rPr>
        <w:t>power over land use decision-making processes.</w:t>
      </w:r>
      <w:r w:rsidR="002E5702">
        <w:rPr>
          <w:rFonts w:ascii="Times New Roman" w:hAnsi="Times New Roman"/>
          <w:sz w:val="24"/>
          <w:szCs w:val="24"/>
        </w:rPr>
        <w:t xml:space="preserve"> </w:t>
      </w:r>
      <w:r w:rsidR="0034745F">
        <w:rPr>
          <w:rFonts w:ascii="Times New Roman" w:hAnsi="Times New Roman"/>
          <w:sz w:val="24"/>
          <w:szCs w:val="24"/>
        </w:rPr>
        <w:t xml:space="preserve"> </w:t>
      </w:r>
      <w:r w:rsidR="002E5702">
        <w:rPr>
          <w:rFonts w:ascii="Times New Roman" w:hAnsi="Times New Roman"/>
          <w:sz w:val="24"/>
          <w:szCs w:val="24"/>
        </w:rPr>
        <w:t>Finally, o</w:t>
      </w:r>
      <w:r w:rsidR="00FE1194">
        <w:rPr>
          <w:rFonts w:ascii="Times New Roman" w:hAnsi="Times New Roman"/>
          <w:sz w:val="24"/>
          <w:szCs w:val="24"/>
        </w:rPr>
        <w:t xml:space="preserve">ther research indicates that </w:t>
      </w:r>
      <w:r w:rsidR="00334306">
        <w:rPr>
          <w:rFonts w:ascii="Times New Roman" w:hAnsi="Times New Roman"/>
          <w:sz w:val="24"/>
          <w:szCs w:val="24"/>
        </w:rPr>
        <w:t>restrictive land use policies can maintain and exacerbate ra</w:t>
      </w:r>
      <w:r w:rsidR="00754FCE">
        <w:rPr>
          <w:rFonts w:ascii="Times New Roman" w:hAnsi="Times New Roman"/>
          <w:sz w:val="24"/>
          <w:szCs w:val="24"/>
        </w:rPr>
        <w:t>cial segregation.  Specifically,</w:t>
      </w:r>
      <w:r w:rsidR="00334306">
        <w:rPr>
          <w:rFonts w:ascii="TimesNewRomanPSMT" w:hAnsi="TimesNewRomanPSMT" w:cs="TimesNewRomanPSMT"/>
          <w:sz w:val="23"/>
          <w:szCs w:val="23"/>
        </w:rPr>
        <w:t xml:space="preserve"> land use regulations </w:t>
      </w:r>
      <w:r w:rsidR="00754FCE">
        <w:rPr>
          <w:rFonts w:ascii="TimesNewRomanPSMT" w:hAnsi="TimesNewRomanPSMT" w:cs="TimesNewRomanPSMT"/>
          <w:sz w:val="23"/>
          <w:szCs w:val="23"/>
        </w:rPr>
        <w:t xml:space="preserve">that increase housing prices </w:t>
      </w:r>
      <w:r w:rsidR="00334306">
        <w:rPr>
          <w:rFonts w:ascii="TimesNewRomanPSMT" w:hAnsi="TimesNewRomanPSMT" w:cs="TimesNewRomanPSMT"/>
          <w:sz w:val="23"/>
          <w:szCs w:val="23"/>
        </w:rPr>
        <w:t>have greater negative effects on people of color</w:t>
      </w:r>
      <w:r w:rsidR="00754FCE">
        <w:rPr>
          <w:rFonts w:ascii="TimesNewRomanPSMT" w:hAnsi="TimesNewRomanPSMT" w:cs="TimesNewRomanPSMT"/>
          <w:sz w:val="23"/>
          <w:szCs w:val="23"/>
        </w:rPr>
        <w:t xml:space="preserve"> because of their lower average income and wealth.</w:t>
      </w:r>
      <w:r w:rsidR="00754FCE">
        <w:rPr>
          <w:rStyle w:val="FootnoteReference"/>
          <w:rFonts w:ascii="TimesNewRomanPSMT" w:hAnsi="TimesNewRomanPSMT" w:cs="TimesNewRomanPSMT"/>
          <w:sz w:val="23"/>
          <w:szCs w:val="23"/>
        </w:rPr>
        <w:footnoteReference w:id="14"/>
      </w:r>
      <w:r w:rsidR="00754FCE">
        <w:rPr>
          <w:rFonts w:ascii="TimesNewRomanPSMT" w:hAnsi="TimesNewRomanPSMT" w:cs="TimesNewRomanPSMT"/>
          <w:sz w:val="23"/>
          <w:szCs w:val="23"/>
        </w:rPr>
        <w:t xml:space="preserve">  </w:t>
      </w:r>
      <w:r w:rsidR="004373B7">
        <w:rPr>
          <w:rFonts w:ascii="TimesNewRomanPSMT" w:hAnsi="TimesNewRomanPSMT" w:cs="TimesNewRomanPSMT"/>
          <w:sz w:val="23"/>
          <w:szCs w:val="23"/>
        </w:rPr>
        <w:t>Furthermore</w:t>
      </w:r>
      <w:r w:rsidR="00754FCE">
        <w:rPr>
          <w:rFonts w:ascii="TimesNewRomanPSMT" w:hAnsi="TimesNewRomanPSMT" w:cs="TimesNewRomanPSMT"/>
          <w:sz w:val="23"/>
          <w:szCs w:val="23"/>
        </w:rPr>
        <w:t>, some research finds that w</w:t>
      </w:r>
      <w:r w:rsidR="00FE1194">
        <w:rPr>
          <w:rFonts w:ascii="Times New Roman" w:hAnsi="Times New Roman"/>
          <w:sz w:val="24"/>
          <w:szCs w:val="24"/>
        </w:rPr>
        <w:t xml:space="preserve">hite neighborhoods are </w:t>
      </w:r>
      <w:proofErr w:type="gramStart"/>
      <w:r w:rsidR="00FE1194">
        <w:rPr>
          <w:rFonts w:ascii="Times New Roman" w:hAnsi="Times New Roman"/>
          <w:sz w:val="24"/>
          <w:szCs w:val="24"/>
        </w:rPr>
        <w:t>more supportive</w:t>
      </w:r>
      <w:proofErr w:type="gramEnd"/>
      <w:r w:rsidR="00FE1194">
        <w:rPr>
          <w:rFonts w:ascii="Times New Roman" w:hAnsi="Times New Roman"/>
          <w:sz w:val="24"/>
          <w:szCs w:val="24"/>
        </w:rPr>
        <w:t xml:space="preserve"> of restrictive land use ballot measures</w:t>
      </w:r>
      <w:r w:rsidR="00D412C2">
        <w:rPr>
          <w:rFonts w:ascii="Times New Roman" w:hAnsi="Times New Roman"/>
          <w:sz w:val="24"/>
          <w:szCs w:val="24"/>
        </w:rPr>
        <w:t>.</w:t>
      </w:r>
      <w:r w:rsidR="00334306">
        <w:rPr>
          <w:rFonts w:ascii="Times New Roman" w:hAnsi="Times New Roman"/>
          <w:sz w:val="24"/>
          <w:szCs w:val="24"/>
        </w:rPr>
        <w:t xml:space="preserve"> </w:t>
      </w:r>
      <w:r w:rsidR="00D412C2">
        <w:rPr>
          <w:rFonts w:ascii="Times New Roman" w:hAnsi="Times New Roman"/>
          <w:sz w:val="24"/>
          <w:szCs w:val="24"/>
        </w:rPr>
        <w:t xml:space="preserve"> </w:t>
      </w:r>
      <w:r w:rsidR="00CD2EB6">
        <w:rPr>
          <w:rFonts w:ascii="Times New Roman" w:hAnsi="Times New Roman"/>
          <w:sz w:val="24"/>
          <w:szCs w:val="24"/>
        </w:rPr>
        <w:t>C</w:t>
      </w:r>
      <w:r w:rsidR="00FE1194" w:rsidRPr="00FE1194">
        <w:rPr>
          <w:rFonts w:ascii="Times New Roman" w:hAnsi="Times New Roman"/>
          <w:sz w:val="24"/>
          <w:szCs w:val="24"/>
        </w:rPr>
        <w:t xml:space="preserve">ities that were whiter than their metropolitan area in 1970 are </w:t>
      </w:r>
      <w:r w:rsidR="00CD2EB6">
        <w:rPr>
          <w:rFonts w:ascii="Times New Roman" w:hAnsi="Times New Roman"/>
          <w:sz w:val="24"/>
          <w:szCs w:val="24"/>
        </w:rPr>
        <w:t xml:space="preserve">also </w:t>
      </w:r>
      <w:r w:rsidR="00FE1194" w:rsidRPr="00FE1194">
        <w:rPr>
          <w:rFonts w:ascii="Times New Roman" w:hAnsi="Times New Roman"/>
          <w:sz w:val="24"/>
          <w:szCs w:val="24"/>
        </w:rPr>
        <w:t>more likely to have restri</w:t>
      </w:r>
      <w:r w:rsidR="00334306">
        <w:rPr>
          <w:rFonts w:ascii="Times New Roman" w:hAnsi="Times New Roman"/>
          <w:sz w:val="24"/>
          <w:szCs w:val="24"/>
        </w:rPr>
        <w:t xml:space="preserve">ctive </w:t>
      </w:r>
      <w:r w:rsidR="00CD2EB6">
        <w:rPr>
          <w:rFonts w:ascii="Times New Roman" w:hAnsi="Times New Roman"/>
          <w:sz w:val="24"/>
          <w:szCs w:val="24"/>
        </w:rPr>
        <w:t xml:space="preserve">land use patterns in 2006, and </w:t>
      </w:r>
      <w:r w:rsidR="00334306">
        <w:rPr>
          <w:rFonts w:ascii="Times New Roman" w:hAnsi="Times New Roman"/>
          <w:sz w:val="24"/>
          <w:szCs w:val="24"/>
        </w:rPr>
        <w:t>liberalizing land use policies through lawsuits under the Fair Housing Act significantly increases the percentage of people of color within a jurisdiction.</w:t>
      </w:r>
      <w:r w:rsidR="00334306">
        <w:rPr>
          <w:rStyle w:val="FootnoteReference"/>
          <w:rFonts w:ascii="Times New Roman" w:hAnsi="Times New Roman"/>
          <w:sz w:val="24"/>
          <w:szCs w:val="24"/>
        </w:rPr>
        <w:footnoteReference w:id="15"/>
      </w:r>
      <w:r w:rsidR="00334306">
        <w:rPr>
          <w:rFonts w:ascii="Times New Roman" w:hAnsi="Times New Roman"/>
          <w:sz w:val="24"/>
          <w:szCs w:val="24"/>
        </w:rPr>
        <w:t xml:space="preserve">  </w:t>
      </w:r>
    </w:p>
    <w:p w14:paraId="4B69A58B" w14:textId="1E173F92" w:rsidR="00DB491C" w:rsidRPr="00064755" w:rsidRDefault="00030A59" w:rsidP="00CD2EB6">
      <w:pPr>
        <w:tabs>
          <w:tab w:val="left" w:pos="6120"/>
        </w:tabs>
        <w:rPr>
          <w:rFonts w:ascii="Times New Roman" w:hAnsi="Times New Roman"/>
          <w:sz w:val="28"/>
          <w:szCs w:val="24"/>
        </w:rPr>
      </w:pPr>
      <w:r>
        <w:rPr>
          <w:rFonts w:ascii="Times New Roman" w:hAnsi="Times New Roman"/>
          <w:b/>
          <w:i/>
          <w:sz w:val="24"/>
          <w:szCs w:val="24"/>
        </w:rPr>
        <w:t>Lower</w:t>
      </w:r>
      <w:r w:rsidR="005F4C82">
        <w:rPr>
          <w:rFonts w:ascii="Times New Roman" w:hAnsi="Times New Roman"/>
          <w:b/>
          <w:i/>
          <w:sz w:val="24"/>
          <w:szCs w:val="24"/>
        </w:rPr>
        <w:t xml:space="preserve"> Economic Growth.</w:t>
      </w:r>
      <w:r w:rsidR="008E6B87">
        <w:rPr>
          <w:rFonts w:ascii="Times New Roman" w:hAnsi="Times New Roman"/>
          <w:sz w:val="24"/>
          <w:szCs w:val="24"/>
        </w:rPr>
        <w:t xml:space="preserve"> </w:t>
      </w:r>
      <w:r w:rsidR="002E5702">
        <w:rPr>
          <w:rFonts w:ascii="Times New Roman" w:hAnsi="Times New Roman"/>
          <w:sz w:val="24"/>
          <w:szCs w:val="24"/>
        </w:rPr>
        <w:t xml:space="preserve">Restrictive land use policies also hurt economic growth more broadly because they keep residents from moving to more productive areas where they can take </w:t>
      </w:r>
      <w:proofErr w:type="gramStart"/>
      <w:r w:rsidR="002E5702">
        <w:rPr>
          <w:rFonts w:ascii="Times New Roman" w:hAnsi="Times New Roman"/>
          <w:sz w:val="24"/>
          <w:szCs w:val="24"/>
        </w:rPr>
        <w:t>more productive jobs that pay higher wages</w:t>
      </w:r>
      <w:proofErr w:type="gramEnd"/>
      <w:r w:rsidR="002E5702">
        <w:rPr>
          <w:rFonts w:ascii="Times New Roman" w:hAnsi="Times New Roman"/>
          <w:sz w:val="24"/>
          <w:szCs w:val="24"/>
        </w:rPr>
        <w:t>.  For example, one analysis found that highly productive cities in the United States have not contributed to economic growth as much as their productivity would imply because of housing constraints that keep workers from those cities, and that gross domestic product (GDP) could be as much a</w:t>
      </w:r>
      <w:r w:rsidR="002E5702" w:rsidRPr="00064755">
        <w:rPr>
          <w:rFonts w:ascii="Times New Roman" w:hAnsi="Times New Roman"/>
          <w:sz w:val="24"/>
          <w:szCs w:val="24"/>
        </w:rPr>
        <w:t>s 9.5% higher if those constraints were relaxed.</w:t>
      </w:r>
      <w:r w:rsidR="00DB491C" w:rsidRPr="00064755">
        <w:rPr>
          <w:rStyle w:val="FootnoteReference"/>
          <w:rFonts w:ascii="Times New Roman" w:hAnsi="Times New Roman"/>
          <w:sz w:val="24"/>
          <w:szCs w:val="24"/>
        </w:rPr>
        <w:footnoteReference w:id="16"/>
      </w:r>
      <w:r w:rsidR="002E5702" w:rsidRPr="00064755">
        <w:rPr>
          <w:rFonts w:ascii="Times New Roman" w:hAnsi="Times New Roman"/>
          <w:sz w:val="24"/>
          <w:szCs w:val="24"/>
        </w:rPr>
        <w:t xml:space="preserve">  </w:t>
      </w:r>
      <w:r w:rsidR="00DB491C" w:rsidRPr="00064755">
        <w:rPr>
          <w:rFonts w:ascii="Times New Roman" w:hAnsi="Times New Roman"/>
          <w:sz w:val="24"/>
          <w:szCs w:val="24"/>
        </w:rPr>
        <w:t>Other scholars argue that</w:t>
      </w:r>
      <w:r w:rsidR="00CD2EB6" w:rsidRPr="00064755">
        <w:rPr>
          <w:rFonts w:ascii="Times New Roman" w:hAnsi="Times New Roman"/>
          <w:sz w:val="24"/>
          <w:szCs w:val="24"/>
        </w:rPr>
        <w:t xml:space="preserve"> </w:t>
      </w:r>
      <w:r w:rsidR="00DB491C" w:rsidRPr="00064755">
        <w:rPr>
          <w:rFonts w:ascii="Times New Roman" w:hAnsi="Times New Roman"/>
          <w:sz w:val="24"/>
          <w:szCs w:val="24"/>
        </w:rPr>
        <w:t>low-density zoning also hurts the regional economy</w:t>
      </w:r>
      <w:r w:rsidR="00064755" w:rsidRPr="00064755">
        <w:rPr>
          <w:rFonts w:ascii="Times New Roman" w:hAnsi="Times New Roman"/>
          <w:sz w:val="24"/>
          <w:szCs w:val="24"/>
        </w:rPr>
        <w:t>: there is some indication that housing costs have pushed startups from California to other states, and have driven some companies, such as Toyota, to relocate out of California.</w:t>
      </w:r>
      <w:r w:rsidR="00DB491C" w:rsidRPr="00064755">
        <w:rPr>
          <w:rStyle w:val="FootnoteReference"/>
          <w:rFonts w:ascii="Times New Roman" w:hAnsi="Times New Roman"/>
          <w:sz w:val="24"/>
          <w:szCs w:val="24"/>
        </w:rPr>
        <w:footnoteReference w:id="17"/>
      </w:r>
    </w:p>
    <w:p w14:paraId="60872458" w14:textId="3C9740DB" w:rsidR="003715C2" w:rsidRDefault="00F432D0" w:rsidP="006B1100">
      <w:pPr>
        <w:tabs>
          <w:tab w:val="left" w:pos="6120"/>
        </w:tabs>
        <w:rPr>
          <w:rFonts w:ascii="Times New Roman" w:hAnsi="Times New Roman"/>
          <w:sz w:val="24"/>
          <w:szCs w:val="24"/>
        </w:rPr>
      </w:pPr>
      <w:r>
        <w:rPr>
          <w:rFonts w:ascii="Times New Roman" w:hAnsi="Times New Roman"/>
          <w:b/>
          <w:i/>
          <w:sz w:val="24"/>
          <w:szCs w:val="24"/>
        </w:rPr>
        <w:t>Transportation and Environmental Impacts.</w:t>
      </w:r>
      <w:r w:rsidR="00A43AF4">
        <w:rPr>
          <w:rFonts w:ascii="Times New Roman" w:hAnsi="Times New Roman"/>
          <w:b/>
          <w:i/>
          <w:sz w:val="24"/>
          <w:szCs w:val="24"/>
        </w:rPr>
        <w:t xml:space="preserve">  </w:t>
      </w:r>
      <w:r>
        <w:rPr>
          <w:rFonts w:ascii="Times New Roman" w:hAnsi="Times New Roman"/>
          <w:sz w:val="24"/>
          <w:szCs w:val="24"/>
        </w:rPr>
        <w:t xml:space="preserve">Restrictive zoning that does not allow for additional density in already developed areas has several environmental and transportation-related impacts.  </w:t>
      </w:r>
      <w:r w:rsidR="00DB491C">
        <w:rPr>
          <w:rFonts w:ascii="Times New Roman" w:hAnsi="Times New Roman"/>
          <w:sz w:val="24"/>
          <w:szCs w:val="24"/>
        </w:rPr>
        <w:t>R</w:t>
      </w:r>
      <w:r>
        <w:rPr>
          <w:rFonts w:ascii="Times New Roman" w:hAnsi="Times New Roman"/>
          <w:sz w:val="24"/>
          <w:szCs w:val="24"/>
        </w:rPr>
        <w:t xml:space="preserve">estrictions that maintain existing levels of density in highly desirable areas </w:t>
      </w:r>
      <w:r w:rsidR="00815126">
        <w:rPr>
          <w:rFonts w:ascii="Times New Roman" w:hAnsi="Times New Roman"/>
          <w:sz w:val="24"/>
          <w:szCs w:val="24"/>
        </w:rPr>
        <w:t xml:space="preserve">caps the overall population capacity in a given area, </w:t>
      </w:r>
      <w:r>
        <w:rPr>
          <w:rFonts w:ascii="Times New Roman" w:hAnsi="Times New Roman"/>
          <w:sz w:val="24"/>
          <w:szCs w:val="24"/>
        </w:rPr>
        <w:t>encourag</w:t>
      </w:r>
      <w:r w:rsidR="00815126">
        <w:rPr>
          <w:rFonts w:ascii="Times New Roman" w:hAnsi="Times New Roman"/>
          <w:sz w:val="24"/>
          <w:szCs w:val="24"/>
        </w:rPr>
        <w:t>ing</w:t>
      </w:r>
      <w:r>
        <w:rPr>
          <w:rFonts w:ascii="Times New Roman" w:hAnsi="Times New Roman"/>
          <w:sz w:val="24"/>
          <w:szCs w:val="24"/>
        </w:rPr>
        <w:t xml:space="preserve"> sprawl by directing developers to build on the edg</w:t>
      </w:r>
      <w:r w:rsidR="00815126">
        <w:rPr>
          <w:rFonts w:ascii="Times New Roman" w:hAnsi="Times New Roman"/>
          <w:sz w:val="24"/>
          <w:szCs w:val="24"/>
        </w:rPr>
        <w:t>es of developed areas.  This</w:t>
      </w:r>
      <w:r w:rsidR="00FE34B8">
        <w:rPr>
          <w:rFonts w:ascii="Times New Roman" w:hAnsi="Times New Roman"/>
          <w:sz w:val="24"/>
          <w:szCs w:val="24"/>
        </w:rPr>
        <w:t xml:space="preserve"> encourages lower-income workers to </w:t>
      </w:r>
      <w:r w:rsidR="00463EBD">
        <w:rPr>
          <w:rFonts w:ascii="Times New Roman" w:hAnsi="Times New Roman"/>
          <w:sz w:val="24"/>
          <w:szCs w:val="24"/>
        </w:rPr>
        <w:t xml:space="preserve">commute longer distances </w:t>
      </w:r>
      <w:r w:rsidR="00FE34B8">
        <w:rPr>
          <w:rFonts w:ascii="Times New Roman" w:hAnsi="Times New Roman"/>
          <w:sz w:val="24"/>
          <w:szCs w:val="24"/>
        </w:rPr>
        <w:t xml:space="preserve">because they must look further from their jobs for housing that they can afford, </w:t>
      </w:r>
      <w:r w:rsidR="00463EBD">
        <w:rPr>
          <w:rFonts w:ascii="Times New Roman" w:hAnsi="Times New Roman"/>
          <w:sz w:val="24"/>
          <w:szCs w:val="24"/>
        </w:rPr>
        <w:t>costing</w:t>
      </w:r>
      <w:r w:rsidR="00FE34B8">
        <w:rPr>
          <w:rFonts w:ascii="Times New Roman" w:hAnsi="Times New Roman"/>
          <w:sz w:val="24"/>
          <w:szCs w:val="24"/>
        </w:rPr>
        <w:t xml:space="preserve"> these workers time and money. </w:t>
      </w:r>
      <w:r w:rsidR="0034745F">
        <w:rPr>
          <w:rFonts w:ascii="Times New Roman" w:hAnsi="Times New Roman"/>
          <w:sz w:val="24"/>
          <w:szCs w:val="24"/>
        </w:rPr>
        <w:t xml:space="preserve"> </w:t>
      </w:r>
      <w:r w:rsidR="00FE34B8">
        <w:rPr>
          <w:rFonts w:ascii="Times New Roman" w:hAnsi="Times New Roman"/>
          <w:sz w:val="24"/>
          <w:szCs w:val="24"/>
        </w:rPr>
        <w:t>Finally, low-density housing works</w:t>
      </w:r>
      <w:r w:rsidR="003715C2">
        <w:rPr>
          <w:rFonts w:ascii="Times New Roman" w:hAnsi="Times New Roman"/>
          <w:sz w:val="24"/>
          <w:szCs w:val="24"/>
        </w:rPr>
        <w:t xml:space="preserve"> against the state’s </w:t>
      </w:r>
      <w:r w:rsidR="003715C2">
        <w:rPr>
          <w:rFonts w:ascii="Times New Roman" w:hAnsi="Times New Roman"/>
          <w:sz w:val="24"/>
          <w:szCs w:val="24"/>
        </w:rPr>
        <w:lastRenderedPageBreak/>
        <w:t>environmental goals</w:t>
      </w:r>
      <w:r w:rsidR="00FE34B8">
        <w:rPr>
          <w:rFonts w:ascii="Times New Roman" w:hAnsi="Times New Roman"/>
          <w:sz w:val="24"/>
          <w:szCs w:val="24"/>
        </w:rPr>
        <w:t>, including reducing greenhouse gases, preserving agricultural and open space, reducing water usage, and reducing vehicle miles traveled.</w:t>
      </w:r>
      <w:r w:rsidR="00DB491C">
        <w:rPr>
          <w:rStyle w:val="FootnoteReference"/>
          <w:rFonts w:ascii="Times New Roman" w:hAnsi="Times New Roman"/>
          <w:sz w:val="24"/>
          <w:szCs w:val="24"/>
        </w:rPr>
        <w:footnoteReference w:id="18"/>
      </w:r>
      <w:r w:rsidR="00815126">
        <w:rPr>
          <w:rFonts w:ascii="Times New Roman" w:hAnsi="Times New Roman"/>
          <w:sz w:val="24"/>
          <w:szCs w:val="24"/>
        </w:rPr>
        <w:t xml:space="preserve">  </w:t>
      </w:r>
    </w:p>
    <w:p w14:paraId="1A46A1C3" w14:textId="3126C78F" w:rsidR="006B1100" w:rsidRPr="006B1100" w:rsidRDefault="006B1100" w:rsidP="006B1100">
      <w:pPr>
        <w:tabs>
          <w:tab w:val="left" w:pos="6120"/>
        </w:tabs>
        <w:rPr>
          <w:rFonts w:ascii="Times New Roman" w:hAnsi="Times New Roman"/>
          <w:b/>
          <w:sz w:val="28"/>
          <w:szCs w:val="24"/>
        </w:rPr>
      </w:pPr>
      <w:r w:rsidRPr="006B1100">
        <w:rPr>
          <w:rFonts w:ascii="Times New Roman" w:hAnsi="Times New Roman"/>
          <w:b/>
          <w:sz w:val="28"/>
          <w:szCs w:val="24"/>
        </w:rPr>
        <w:t>Limitations of Lowe</w:t>
      </w:r>
      <w:r w:rsidR="008C47B0">
        <w:rPr>
          <w:rFonts w:ascii="Times New Roman" w:hAnsi="Times New Roman"/>
          <w:b/>
          <w:sz w:val="28"/>
          <w:szCs w:val="24"/>
        </w:rPr>
        <w:t>ring</w:t>
      </w:r>
      <w:r w:rsidRPr="006B1100">
        <w:rPr>
          <w:rFonts w:ascii="Times New Roman" w:hAnsi="Times New Roman"/>
          <w:b/>
          <w:sz w:val="28"/>
          <w:szCs w:val="24"/>
        </w:rPr>
        <w:t xml:space="preserve"> Housing Prices</w:t>
      </w:r>
      <w:r w:rsidR="008C47B0">
        <w:rPr>
          <w:rFonts w:ascii="Times New Roman" w:hAnsi="Times New Roman"/>
          <w:b/>
          <w:sz w:val="28"/>
          <w:szCs w:val="24"/>
        </w:rPr>
        <w:t xml:space="preserve"> </w:t>
      </w:r>
      <w:r w:rsidR="00DD12A0">
        <w:rPr>
          <w:rFonts w:ascii="Times New Roman" w:hAnsi="Times New Roman"/>
          <w:b/>
          <w:sz w:val="28"/>
          <w:szCs w:val="24"/>
        </w:rPr>
        <w:t>by</w:t>
      </w:r>
      <w:r w:rsidR="008C47B0">
        <w:rPr>
          <w:rFonts w:ascii="Times New Roman" w:hAnsi="Times New Roman"/>
          <w:b/>
          <w:sz w:val="28"/>
          <w:szCs w:val="24"/>
        </w:rPr>
        <w:t xml:space="preserve"> </w:t>
      </w:r>
      <w:r w:rsidR="00DD12A0">
        <w:rPr>
          <w:rFonts w:ascii="Times New Roman" w:hAnsi="Times New Roman"/>
          <w:b/>
          <w:sz w:val="28"/>
          <w:szCs w:val="24"/>
        </w:rPr>
        <w:t>Encouraging New</w:t>
      </w:r>
      <w:r w:rsidR="008C47B0">
        <w:rPr>
          <w:rFonts w:ascii="Times New Roman" w:hAnsi="Times New Roman"/>
          <w:b/>
          <w:sz w:val="28"/>
          <w:szCs w:val="24"/>
        </w:rPr>
        <w:t xml:space="preserve"> Supply</w:t>
      </w:r>
    </w:p>
    <w:p w14:paraId="46E8FF43" w14:textId="77777777" w:rsidR="00815126" w:rsidRDefault="009E0940" w:rsidP="00927E43">
      <w:pPr>
        <w:tabs>
          <w:tab w:val="left" w:pos="6120"/>
        </w:tabs>
        <w:rPr>
          <w:rFonts w:ascii="Times New Roman" w:hAnsi="Times New Roman"/>
          <w:sz w:val="24"/>
          <w:szCs w:val="24"/>
        </w:rPr>
      </w:pPr>
      <w:r>
        <w:rPr>
          <w:rFonts w:ascii="Times New Roman" w:hAnsi="Times New Roman"/>
          <w:sz w:val="24"/>
          <w:szCs w:val="24"/>
        </w:rPr>
        <w:t>Alt</w:t>
      </w:r>
      <w:r w:rsidR="00970DE6">
        <w:rPr>
          <w:rFonts w:ascii="Times New Roman" w:hAnsi="Times New Roman"/>
          <w:sz w:val="24"/>
          <w:szCs w:val="24"/>
        </w:rPr>
        <w:t xml:space="preserve">hough increasing housing supply can lead to lower housing prices over time, there are limitations to an approach </w:t>
      </w:r>
      <w:r w:rsidR="00D13B39">
        <w:rPr>
          <w:rFonts w:ascii="Times New Roman" w:hAnsi="Times New Roman"/>
          <w:sz w:val="24"/>
          <w:szCs w:val="24"/>
        </w:rPr>
        <w:t xml:space="preserve">to ensuring housing affordability </w:t>
      </w:r>
      <w:r w:rsidR="00970DE6">
        <w:rPr>
          <w:rFonts w:ascii="Times New Roman" w:hAnsi="Times New Roman"/>
          <w:sz w:val="24"/>
          <w:szCs w:val="24"/>
        </w:rPr>
        <w:t xml:space="preserve">that relies purely on </w:t>
      </w:r>
      <w:r w:rsidR="008C47B0">
        <w:rPr>
          <w:rFonts w:ascii="Times New Roman" w:hAnsi="Times New Roman"/>
          <w:sz w:val="24"/>
          <w:szCs w:val="24"/>
        </w:rPr>
        <w:t xml:space="preserve">generating new housing supply.  </w:t>
      </w:r>
    </w:p>
    <w:p w14:paraId="6882497A" w14:textId="0C7774BE" w:rsidR="0096255A" w:rsidRDefault="00815126" w:rsidP="00927E43">
      <w:pPr>
        <w:tabs>
          <w:tab w:val="left" w:pos="6120"/>
        </w:tabs>
        <w:rPr>
          <w:rFonts w:ascii="Times New Roman" w:hAnsi="Times New Roman"/>
          <w:sz w:val="24"/>
          <w:szCs w:val="24"/>
        </w:rPr>
      </w:pPr>
      <w:r>
        <w:rPr>
          <w:rFonts w:ascii="Times New Roman" w:hAnsi="Times New Roman"/>
          <w:b/>
          <w:i/>
          <w:sz w:val="24"/>
          <w:szCs w:val="24"/>
        </w:rPr>
        <w:t>New Housing Stock Takes Decades to Become Affordable.</w:t>
      </w:r>
      <w:r w:rsidR="0034745F">
        <w:rPr>
          <w:rFonts w:ascii="Times New Roman" w:hAnsi="Times New Roman"/>
          <w:b/>
          <w:i/>
          <w:sz w:val="24"/>
          <w:szCs w:val="24"/>
        </w:rPr>
        <w:t xml:space="preserve"> </w:t>
      </w:r>
      <w:r>
        <w:rPr>
          <w:rFonts w:ascii="Times New Roman" w:hAnsi="Times New Roman"/>
          <w:b/>
          <w:i/>
          <w:sz w:val="24"/>
          <w:szCs w:val="24"/>
        </w:rPr>
        <w:t xml:space="preserve"> </w:t>
      </w:r>
      <w:r w:rsidR="00970DE6">
        <w:rPr>
          <w:rFonts w:ascii="Times New Roman" w:hAnsi="Times New Roman"/>
          <w:sz w:val="24"/>
          <w:szCs w:val="24"/>
        </w:rPr>
        <w:t xml:space="preserve">First, </w:t>
      </w:r>
      <w:r w:rsidR="00523868">
        <w:rPr>
          <w:rFonts w:ascii="Times New Roman" w:hAnsi="Times New Roman"/>
          <w:sz w:val="24"/>
          <w:szCs w:val="24"/>
        </w:rPr>
        <w:t xml:space="preserve">the process by which new homes become more affordable </w:t>
      </w:r>
      <w:r w:rsidR="00B6633A">
        <w:rPr>
          <w:rFonts w:ascii="Times New Roman" w:hAnsi="Times New Roman"/>
          <w:sz w:val="24"/>
          <w:szCs w:val="24"/>
        </w:rPr>
        <w:t>over time</w:t>
      </w:r>
      <w:r w:rsidR="00523868">
        <w:rPr>
          <w:rFonts w:ascii="Times New Roman" w:hAnsi="Times New Roman"/>
          <w:sz w:val="24"/>
          <w:szCs w:val="24"/>
        </w:rPr>
        <w:t>, known as “filtering,” proc</w:t>
      </w:r>
      <w:r w:rsidR="00B6633A">
        <w:rPr>
          <w:rFonts w:ascii="Times New Roman" w:hAnsi="Times New Roman"/>
          <w:sz w:val="24"/>
          <w:szCs w:val="24"/>
        </w:rPr>
        <w:t xml:space="preserve">eeds slowly, meaning that it takes several decades for market-rate housing to become affordable to lower-income families.  </w:t>
      </w:r>
      <w:r w:rsidR="0096255A">
        <w:rPr>
          <w:rFonts w:ascii="Times New Roman" w:hAnsi="Times New Roman"/>
          <w:sz w:val="24"/>
          <w:szCs w:val="24"/>
        </w:rPr>
        <w:t xml:space="preserve">Moreover, some research indicates filtering works more slowly in housing markets where home prices are rapidly increasing, as is the case in many desirable California cities.  One estimate by </w:t>
      </w:r>
      <w:r w:rsidR="00FE1194">
        <w:rPr>
          <w:rFonts w:ascii="Times New Roman" w:hAnsi="Times New Roman"/>
          <w:sz w:val="24"/>
          <w:szCs w:val="24"/>
        </w:rPr>
        <w:t>IGS</w:t>
      </w:r>
      <w:r w:rsidR="0096255A">
        <w:rPr>
          <w:rFonts w:ascii="Times New Roman" w:hAnsi="Times New Roman"/>
          <w:sz w:val="24"/>
          <w:szCs w:val="24"/>
        </w:rPr>
        <w:t xml:space="preserve"> puts filtering rates in the Bay Area at 1.5% a year, meaning that new housing affordable to the median income would take </w:t>
      </w:r>
      <w:r w:rsidR="00C71B78">
        <w:rPr>
          <w:rFonts w:ascii="Times New Roman" w:hAnsi="Times New Roman"/>
          <w:sz w:val="24"/>
          <w:szCs w:val="24"/>
        </w:rPr>
        <w:t>nearly</w:t>
      </w:r>
      <w:r w:rsidR="0096255A">
        <w:rPr>
          <w:rFonts w:ascii="Times New Roman" w:hAnsi="Times New Roman"/>
          <w:sz w:val="24"/>
          <w:szCs w:val="24"/>
        </w:rPr>
        <w:t xml:space="preserve"> 50 years to become affordable to a household making half of the median income in the area.</w:t>
      </w:r>
      <w:r w:rsidR="00D13B39">
        <w:rPr>
          <w:rStyle w:val="FootnoteReference"/>
          <w:rFonts w:ascii="Times New Roman" w:hAnsi="Times New Roman"/>
          <w:sz w:val="24"/>
          <w:szCs w:val="24"/>
        </w:rPr>
        <w:footnoteReference w:id="19"/>
      </w:r>
      <w:r w:rsidR="0096255A">
        <w:rPr>
          <w:rFonts w:ascii="Times New Roman" w:hAnsi="Times New Roman"/>
          <w:sz w:val="24"/>
          <w:szCs w:val="24"/>
        </w:rPr>
        <w:t xml:space="preserve">  </w:t>
      </w:r>
    </w:p>
    <w:p w14:paraId="4D45471C" w14:textId="30E62C64" w:rsidR="00535194" w:rsidRPr="008B57D2" w:rsidRDefault="00815126" w:rsidP="00927E43">
      <w:pPr>
        <w:tabs>
          <w:tab w:val="left" w:pos="6120"/>
        </w:tabs>
        <w:rPr>
          <w:rFonts w:ascii="Times New Roman" w:hAnsi="Times New Roman"/>
          <w:sz w:val="24"/>
          <w:szCs w:val="24"/>
        </w:rPr>
      </w:pPr>
      <w:r>
        <w:rPr>
          <w:rFonts w:ascii="Times New Roman" w:hAnsi="Times New Roman"/>
          <w:b/>
          <w:i/>
          <w:sz w:val="24"/>
          <w:szCs w:val="24"/>
        </w:rPr>
        <w:t xml:space="preserve">Immediate Displacement Concerns. </w:t>
      </w:r>
      <w:r w:rsidR="00DB231C">
        <w:rPr>
          <w:rFonts w:ascii="Times New Roman" w:hAnsi="Times New Roman"/>
          <w:b/>
          <w:i/>
          <w:sz w:val="24"/>
          <w:szCs w:val="24"/>
        </w:rPr>
        <w:t xml:space="preserve"> </w:t>
      </w:r>
      <w:r w:rsidR="004D3F99">
        <w:rPr>
          <w:rFonts w:ascii="Times New Roman" w:hAnsi="Times New Roman"/>
          <w:sz w:val="24"/>
          <w:szCs w:val="24"/>
        </w:rPr>
        <w:t xml:space="preserve">In addition, new housing can displace existing residents </w:t>
      </w:r>
      <w:r w:rsidR="0049698F">
        <w:rPr>
          <w:rFonts w:ascii="Times New Roman" w:hAnsi="Times New Roman"/>
          <w:sz w:val="24"/>
          <w:szCs w:val="24"/>
        </w:rPr>
        <w:t xml:space="preserve">if </w:t>
      </w:r>
      <w:r w:rsidR="004D3F99">
        <w:rPr>
          <w:rFonts w:ascii="Times New Roman" w:hAnsi="Times New Roman"/>
          <w:sz w:val="24"/>
          <w:szCs w:val="24"/>
        </w:rPr>
        <w:t>adequate safeguards</w:t>
      </w:r>
      <w:r w:rsidR="0049698F">
        <w:rPr>
          <w:rFonts w:ascii="Times New Roman" w:hAnsi="Times New Roman"/>
          <w:sz w:val="24"/>
          <w:szCs w:val="24"/>
        </w:rPr>
        <w:t xml:space="preserve"> </w:t>
      </w:r>
      <w:r>
        <w:rPr>
          <w:rFonts w:ascii="Times New Roman" w:hAnsi="Times New Roman"/>
          <w:sz w:val="24"/>
          <w:szCs w:val="24"/>
        </w:rPr>
        <w:t>are not</w:t>
      </w:r>
      <w:r w:rsidR="0049698F">
        <w:rPr>
          <w:rFonts w:ascii="Times New Roman" w:hAnsi="Times New Roman"/>
          <w:sz w:val="24"/>
          <w:szCs w:val="24"/>
        </w:rPr>
        <w:t xml:space="preserve"> in place</w:t>
      </w:r>
      <w:r w:rsidR="004D3F99">
        <w:rPr>
          <w:rFonts w:ascii="Times New Roman" w:hAnsi="Times New Roman"/>
          <w:sz w:val="24"/>
          <w:szCs w:val="24"/>
        </w:rPr>
        <w:t xml:space="preserve">. </w:t>
      </w:r>
      <w:r w:rsidR="00DD5F4E">
        <w:rPr>
          <w:rFonts w:ascii="Times New Roman" w:hAnsi="Times New Roman"/>
          <w:sz w:val="24"/>
          <w:szCs w:val="24"/>
        </w:rPr>
        <w:t>Specifically, pockets of displacement may exist in an area, even though as discussed above, ne</w:t>
      </w:r>
      <w:r w:rsidR="004D3F99">
        <w:rPr>
          <w:rFonts w:ascii="Times New Roman" w:hAnsi="Times New Roman"/>
          <w:sz w:val="24"/>
          <w:szCs w:val="24"/>
        </w:rPr>
        <w:t xml:space="preserve">w housing </w:t>
      </w:r>
      <w:r w:rsidR="00DD5F4E">
        <w:rPr>
          <w:rFonts w:ascii="Times New Roman" w:hAnsi="Times New Roman"/>
          <w:sz w:val="24"/>
          <w:szCs w:val="24"/>
        </w:rPr>
        <w:t xml:space="preserve">production can mitigate </w:t>
      </w:r>
      <w:r w:rsidR="004D3F99">
        <w:rPr>
          <w:rFonts w:ascii="Times New Roman" w:hAnsi="Times New Roman"/>
          <w:sz w:val="24"/>
          <w:szCs w:val="24"/>
        </w:rPr>
        <w:t>displacement pressures at the regional scale</w:t>
      </w:r>
      <w:r w:rsidR="00DD5F4E">
        <w:rPr>
          <w:rFonts w:ascii="Times New Roman" w:hAnsi="Times New Roman"/>
          <w:sz w:val="24"/>
          <w:szCs w:val="24"/>
        </w:rPr>
        <w:t xml:space="preserve"> over time.  For example, the IGS report found that “m</w:t>
      </w:r>
      <w:r w:rsidR="00DD5F4E" w:rsidRPr="00DD5F4E">
        <w:rPr>
          <w:rFonts w:ascii="Times New Roman" w:hAnsi="Times New Roman"/>
          <w:sz w:val="24"/>
          <w:szCs w:val="24"/>
        </w:rPr>
        <w:t xml:space="preserve">arket-rate production is associated with </w:t>
      </w:r>
      <w:r w:rsidR="006D2BA6">
        <w:rPr>
          <w:rFonts w:ascii="Times New Roman" w:hAnsi="Times New Roman"/>
          <w:sz w:val="24"/>
          <w:szCs w:val="24"/>
        </w:rPr>
        <w:t xml:space="preserve">a </w:t>
      </w:r>
      <w:r w:rsidR="00DD5F4E" w:rsidRPr="00DD5F4E">
        <w:rPr>
          <w:rFonts w:ascii="Times New Roman" w:hAnsi="Times New Roman"/>
          <w:sz w:val="24"/>
          <w:szCs w:val="24"/>
        </w:rPr>
        <w:t>higher housing cost burden for low-income households, but lower median rents in subsequent decades.</w:t>
      </w:r>
      <w:r w:rsidR="00DD5F4E">
        <w:rPr>
          <w:rFonts w:ascii="Times New Roman" w:hAnsi="Times New Roman"/>
          <w:sz w:val="24"/>
          <w:szCs w:val="24"/>
        </w:rPr>
        <w:t>”  The IGS report also estimated that producing subsidized housing is twice as effective at preventing displacement as mark</w:t>
      </w:r>
      <w:r>
        <w:rPr>
          <w:rFonts w:ascii="Times New Roman" w:hAnsi="Times New Roman"/>
          <w:sz w:val="24"/>
          <w:szCs w:val="24"/>
        </w:rPr>
        <w:t xml:space="preserve">et-rate production. </w:t>
      </w:r>
      <w:r w:rsidR="0034745F">
        <w:rPr>
          <w:rFonts w:ascii="Times New Roman" w:hAnsi="Times New Roman"/>
          <w:sz w:val="24"/>
          <w:szCs w:val="24"/>
        </w:rPr>
        <w:t xml:space="preserve"> </w:t>
      </w:r>
      <w:r w:rsidR="00E130A1">
        <w:rPr>
          <w:rFonts w:ascii="Times New Roman" w:hAnsi="Times New Roman"/>
          <w:sz w:val="24"/>
          <w:szCs w:val="24"/>
        </w:rPr>
        <w:t>Furthermore, c</w:t>
      </w:r>
      <w:r w:rsidR="00535194">
        <w:rPr>
          <w:rFonts w:ascii="Times New Roman" w:hAnsi="Times New Roman"/>
          <w:sz w:val="24"/>
          <w:szCs w:val="24"/>
        </w:rPr>
        <w:t xml:space="preserve">ontinuing the trend of very </w:t>
      </w:r>
      <w:r w:rsidR="00844AA5">
        <w:rPr>
          <w:rFonts w:ascii="Times New Roman" w:hAnsi="Times New Roman"/>
          <w:sz w:val="24"/>
          <w:szCs w:val="24"/>
        </w:rPr>
        <w:t>high-density</w:t>
      </w:r>
      <w:r w:rsidR="00E130A1">
        <w:rPr>
          <w:rFonts w:ascii="Times New Roman" w:hAnsi="Times New Roman"/>
          <w:sz w:val="24"/>
          <w:szCs w:val="24"/>
        </w:rPr>
        <w:t xml:space="preserve"> development in sma</w:t>
      </w:r>
      <w:r w:rsidR="00535194">
        <w:rPr>
          <w:rFonts w:ascii="Times New Roman" w:hAnsi="Times New Roman"/>
          <w:sz w:val="24"/>
          <w:szCs w:val="24"/>
        </w:rPr>
        <w:t>ll pockets surrounded by low-density housing</w:t>
      </w:r>
      <w:r w:rsidR="00E130A1">
        <w:rPr>
          <w:rFonts w:ascii="Times New Roman" w:hAnsi="Times New Roman"/>
          <w:sz w:val="24"/>
          <w:szCs w:val="24"/>
        </w:rPr>
        <w:t xml:space="preserve"> may exacerbate displacement concerns. </w:t>
      </w:r>
    </w:p>
    <w:p w14:paraId="6997591C" w14:textId="190AA1BA" w:rsidR="00E130A1" w:rsidRDefault="00535194" w:rsidP="00927E43">
      <w:pPr>
        <w:tabs>
          <w:tab w:val="left" w:pos="6120"/>
        </w:tabs>
        <w:rPr>
          <w:rFonts w:ascii="Times New Roman" w:hAnsi="Times New Roman"/>
          <w:sz w:val="24"/>
          <w:szCs w:val="24"/>
        </w:rPr>
      </w:pPr>
      <w:r>
        <w:rPr>
          <w:rFonts w:ascii="Times New Roman" w:hAnsi="Times New Roman"/>
          <w:sz w:val="24"/>
          <w:szCs w:val="24"/>
        </w:rPr>
        <w:t xml:space="preserve">Thus, policies that exclusively encourage very dense development in urban cores is likely to have </w:t>
      </w:r>
      <w:r w:rsidR="00463EBD">
        <w:rPr>
          <w:rFonts w:ascii="Times New Roman" w:hAnsi="Times New Roman"/>
          <w:sz w:val="24"/>
          <w:szCs w:val="24"/>
        </w:rPr>
        <w:t>tradeoffs</w:t>
      </w:r>
      <w:r>
        <w:rPr>
          <w:rFonts w:ascii="Times New Roman" w:hAnsi="Times New Roman"/>
          <w:sz w:val="24"/>
          <w:szCs w:val="24"/>
        </w:rPr>
        <w:t>.</w:t>
      </w:r>
      <w:r w:rsidR="00141F58">
        <w:rPr>
          <w:rFonts w:ascii="Times New Roman" w:hAnsi="Times New Roman"/>
          <w:sz w:val="24"/>
          <w:szCs w:val="24"/>
        </w:rPr>
        <w:t xml:space="preserve">  </w:t>
      </w:r>
      <w:r w:rsidR="00815126">
        <w:rPr>
          <w:rFonts w:ascii="Times New Roman" w:hAnsi="Times New Roman"/>
          <w:sz w:val="24"/>
          <w:szCs w:val="24"/>
        </w:rPr>
        <w:t>Accordingly,</w:t>
      </w:r>
      <w:r w:rsidR="00E130A1">
        <w:rPr>
          <w:rFonts w:ascii="Times New Roman" w:hAnsi="Times New Roman"/>
          <w:sz w:val="24"/>
          <w:szCs w:val="24"/>
        </w:rPr>
        <w:t xml:space="preserve"> legislators may wish to consider </w:t>
      </w:r>
      <w:r>
        <w:rPr>
          <w:rFonts w:ascii="Times New Roman" w:hAnsi="Times New Roman"/>
          <w:sz w:val="24"/>
          <w:szCs w:val="24"/>
        </w:rPr>
        <w:t xml:space="preserve">measures to encourage </w:t>
      </w:r>
      <w:r w:rsidR="00A26B61">
        <w:rPr>
          <w:rFonts w:ascii="Times New Roman" w:hAnsi="Times New Roman"/>
          <w:sz w:val="24"/>
          <w:szCs w:val="24"/>
        </w:rPr>
        <w:t>wider redevelopment of urban and suburban areas at</w:t>
      </w:r>
      <w:r>
        <w:rPr>
          <w:rFonts w:ascii="Times New Roman" w:hAnsi="Times New Roman"/>
          <w:sz w:val="24"/>
          <w:szCs w:val="24"/>
        </w:rPr>
        <w:t xml:space="preserve"> moderate density, as was pursued in the 1960s and 1970s.  In addition, </w:t>
      </w:r>
      <w:r w:rsidR="00141F58">
        <w:rPr>
          <w:rFonts w:ascii="Times New Roman" w:hAnsi="Times New Roman"/>
          <w:sz w:val="24"/>
          <w:szCs w:val="24"/>
        </w:rPr>
        <w:t>n</w:t>
      </w:r>
      <w:r w:rsidR="00815126">
        <w:rPr>
          <w:rFonts w:ascii="Times New Roman" w:hAnsi="Times New Roman"/>
          <w:sz w:val="24"/>
          <w:szCs w:val="24"/>
        </w:rPr>
        <w:t xml:space="preserve">ew housing in desirable areas </w:t>
      </w:r>
      <w:r w:rsidR="00141F58">
        <w:rPr>
          <w:rFonts w:ascii="Times New Roman" w:hAnsi="Times New Roman"/>
          <w:sz w:val="24"/>
          <w:szCs w:val="24"/>
        </w:rPr>
        <w:t>may need to</w:t>
      </w:r>
      <w:r w:rsidR="00815126">
        <w:rPr>
          <w:rFonts w:ascii="Times New Roman" w:hAnsi="Times New Roman"/>
          <w:sz w:val="24"/>
          <w:szCs w:val="24"/>
        </w:rPr>
        <w:t xml:space="preserve"> </w:t>
      </w:r>
      <w:proofErr w:type="gramStart"/>
      <w:r w:rsidR="00815126">
        <w:rPr>
          <w:rFonts w:ascii="Times New Roman" w:hAnsi="Times New Roman"/>
          <w:sz w:val="24"/>
          <w:szCs w:val="24"/>
        </w:rPr>
        <w:t>be paired</w:t>
      </w:r>
      <w:proofErr w:type="gramEnd"/>
      <w:r w:rsidR="00815126">
        <w:rPr>
          <w:rFonts w:ascii="Times New Roman" w:hAnsi="Times New Roman"/>
          <w:sz w:val="24"/>
          <w:szCs w:val="24"/>
        </w:rPr>
        <w:t xml:space="preserve"> with mitigation measures to prevent displacement in the near term, such as inclusionary zoning </w:t>
      </w:r>
      <w:r w:rsidR="002A56D2">
        <w:rPr>
          <w:rFonts w:ascii="Times New Roman" w:hAnsi="Times New Roman"/>
          <w:sz w:val="24"/>
          <w:szCs w:val="24"/>
        </w:rPr>
        <w:t xml:space="preserve">that mandates a percentage of deed-restricted affordable housing in new developments </w:t>
      </w:r>
      <w:r w:rsidR="00815126">
        <w:rPr>
          <w:rFonts w:ascii="Times New Roman" w:hAnsi="Times New Roman"/>
          <w:sz w:val="24"/>
          <w:szCs w:val="24"/>
        </w:rPr>
        <w:t xml:space="preserve">and </w:t>
      </w:r>
      <w:r w:rsidR="002A56D2">
        <w:rPr>
          <w:rFonts w:ascii="Times New Roman" w:hAnsi="Times New Roman"/>
          <w:sz w:val="24"/>
          <w:szCs w:val="24"/>
        </w:rPr>
        <w:t xml:space="preserve">guaranteed </w:t>
      </w:r>
      <w:r w:rsidR="00815126">
        <w:rPr>
          <w:rFonts w:ascii="Times New Roman" w:hAnsi="Times New Roman"/>
          <w:sz w:val="24"/>
          <w:szCs w:val="24"/>
        </w:rPr>
        <w:t>right-of-return for existing tenants.</w:t>
      </w:r>
    </w:p>
    <w:p w14:paraId="391E16C5" w14:textId="27F0F7B6" w:rsidR="008C47B0" w:rsidRPr="00E130A1" w:rsidRDefault="00DD12A0" w:rsidP="00927E43">
      <w:pPr>
        <w:tabs>
          <w:tab w:val="left" w:pos="6120"/>
        </w:tabs>
        <w:rPr>
          <w:rFonts w:ascii="Times New Roman" w:hAnsi="Times New Roman"/>
          <w:sz w:val="24"/>
          <w:szCs w:val="24"/>
        </w:rPr>
      </w:pPr>
      <w:r>
        <w:rPr>
          <w:rFonts w:ascii="Times New Roman" w:hAnsi="Times New Roman"/>
          <w:b/>
          <w:i/>
          <w:sz w:val="24"/>
          <w:szCs w:val="24"/>
        </w:rPr>
        <w:lastRenderedPageBreak/>
        <w:t>Housing Prices Depend on Overall Market Conditions.</w:t>
      </w:r>
      <w:r w:rsidR="00DB231C">
        <w:rPr>
          <w:rFonts w:ascii="Times New Roman" w:hAnsi="Times New Roman"/>
          <w:b/>
          <w:i/>
          <w:sz w:val="24"/>
          <w:szCs w:val="24"/>
        </w:rPr>
        <w:t xml:space="preserve"> </w:t>
      </w:r>
      <w:r>
        <w:rPr>
          <w:rFonts w:ascii="Times New Roman" w:hAnsi="Times New Roman"/>
          <w:b/>
          <w:i/>
          <w:sz w:val="24"/>
          <w:szCs w:val="24"/>
        </w:rPr>
        <w:t xml:space="preserve"> </w:t>
      </w:r>
      <w:r w:rsidR="00D13B39">
        <w:rPr>
          <w:rFonts w:ascii="Times New Roman" w:hAnsi="Times New Roman"/>
          <w:sz w:val="24"/>
          <w:szCs w:val="24"/>
        </w:rPr>
        <w:t>Third</w:t>
      </w:r>
      <w:r w:rsidR="008C47B0">
        <w:rPr>
          <w:rFonts w:ascii="Times New Roman" w:hAnsi="Times New Roman"/>
          <w:sz w:val="24"/>
          <w:szCs w:val="24"/>
        </w:rPr>
        <w:t xml:space="preserve">, reductions in the cost of producing housing do not necessarily lead to a reduction in housing </w:t>
      </w:r>
      <w:r w:rsidR="008C47B0" w:rsidRPr="008C47B0">
        <w:rPr>
          <w:rFonts w:ascii="Times New Roman" w:hAnsi="Times New Roman"/>
          <w:i/>
          <w:sz w:val="24"/>
          <w:szCs w:val="24"/>
        </w:rPr>
        <w:t>prices</w:t>
      </w:r>
      <w:r w:rsidR="008C47B0">
        <w:rPr>
          <w:rFonts w:ascii="Times New Roman" w:hAnsi="Times New Roman"/>
          <w:sz w:val="24"/>
          <w:szCs w:val="24"/>
        </w:rPr>
        <w:t xml:space="preserve">.  </w:t>
      </w:r>
      <w:r w:rsidR="00FC3012">
        <w:rPr>
          <w:rFonts w:ascii="Times New Roman" w:hAnsi="Times New Roman"/>
          <w:sz w:val="24"/>
          <w:szCs w:val="24"/>
        </w:rPr>
        <w:t>T</w:t>
      </w:r>
      <w:r w:rsidR="008C47B0">
        <w:rPr>
          <w:rFonts w:ascii="Times New Roman" w:hAnsi="Times New Roman"/>
          <w:sz w:val="24"/>
          <w:szCs w:val="24"/>
        </w:rPr>
        <w:t xml:space="preserve">he overall market price for housing </w:t>
      </w:r>
      <w:r w:rsidR="008C47B0" w:rsidRPr="00EE6474">
        <w:rPr>
          <w:rFonts w:ascii="Times New Roman" w:hAnsi="Times New Roman"/>
          <w:sz w:val="24"/>
          <w:szCs w:val="24"/>
        </w:rPr>
        <w:t xml:space="preserve">determines what a developer can charge for a new unit, instead of what it costs them to build the unit.  </w:t>
      </w:r>
      <w:r w:rsidR="008C47B0" w:rsidRPr="00EE6474">
        <w:rPr>
          <w:rFonts w:ascii="Times New Roman" w:hAnsi="Times New Roman"/>
          <w:sz w:val="24"/>
        </w:rPr>
        <w:t xml:space="preserve">According to LAO, housing prices </w:t>
      </w:r>
      <w:r w:rsidR="008C47B0" w:rsidRPr="00EE6474">
        <w:rPr>
          <w:rFonts w:ascii="Times New Roman" w:hAnsi="Times New Roman"/>
          <w:sz w:val="24"/>
          <w:szCs w:val="24"/>
        </w:rPr>
        <w:t>in California’s highest-cost areas</w:t>
      </w:r>
      <w:r w:rsidR="00EE6474" w:rsidRPr="00EE6474">
        <w:rPr>
          <w:rFonts w:ascii="Times New Roman" w:hAnsi="Times New Roman"/>
          <w:sz w:val="24"/>
          <w:szCs w:val="24"/>
        </w:rPr>
        <w:t xml:space="preserve"> are as much as three times higher</w:t>
      </w:r>
      <w:r w:rsidR="008C47B0" w:rsidRPr="00EE6474">
        <w:rPr>
          <w:rFonts w:ascii="Times New Roman" w:hAnsi="Times New Roman"/>
          <w:sz w:val="24"/>
        </w:rPr>
        <w:t xml:space="preserve"> the cost to produce </w:t>
      </w:r>
      <w:r w:rsidR="006D2BA6" w:rsidRPr="00EE6474">
        <w:rPr>
          <w:rFonts w:ascii="Times New Roman" w:hAnsi="Times New Roman"/>
          <w:sz w:val="24"/>
        </w:rPr>
        <w:t>new units</w:t>
      </w:r>
      <w:r w:rsidR="00EE6474" w:rsidRPr="00EE6474">
        <w:rPr>
          <w:rFonts w:ascii="Times New Roman" w:hAnsi="Times New Roman"/>
          <w:sz w:val="24"/>
        </w:rPr>
        <w:t xml:space="preserve"> in those areas—allowing developers to pocket the difference </w:t>
      </w:r>
      <w:r w:rsidR="00EE6474" w:rsidRPr="00EE6474">
        <w:rPr>
          <w:rFonts w:ascii="Times New Roman" w:hAnsi="Times New Roman"/>
          <w:sz w:val="24"/>
          <w:szCs w:val="24"/>
        </w:rPr>
        <w:t>because they</w:t>
      </w:r>
      <w:r w:rsidR="008C47B0" w:rsidRPr="00EE6474">
        <w:rPr>
          <w:rFonts w:ascii="Times New Roman" w:hAnsi="Times New Roman"/>
          <w:sz w:val="24"/>
          <w:szCs w:val="24"/>
        </w:rPr>
        <w:t xml:space="preserve"> can</w:t>
      </w:r>
      <w:r w:rsidR="008C47B0">
        <w:rPr>
          <w:rFonts w:ascii="Times New Roman" w:hAnsi="Times New Roman"/>
          <w:sz w:val="24"/>
          <w:szCs w:val="24"/>
        </w:rPr>
        <w:t xml:space="preserve"> sell new units at the price that the market will bear</w:t>
      </w:r>
      <w:r w:rsidR="00EE6474">
        <w:rPr>
          <w:rFonts w:ascii="Times New Roman" w:hAnsi="Times New Roman"/>
          <w:sz w:val="24"/>
          <w:szCs w:val="24"/>
        </w:rPr>
        <w:t xml:space="preserve">.  Thus, </w:t>
      </w:r>
      <w:r w:rsidR="008C47B0">
        <w:rPr>
          <w:rFonts w:ascii="Times New Roman" w:hAnsi="Times New Roman"/>
          <w:sz w:val="24"/>
          <w:szCs w:val="24"/>
        </w:rPr>
        <w:t xml:space="preserve">reducing the cost of producing housing—such as by reducing regulatory hurdles, relaxing building codes, or lowering </w:t>
      </w:r>
      <w:r w:rsidR="008C47B0" w:rsidRPr="00D13B39">
        <w:rPr>
          <w:rFonts w:ascii="Times New Roman" w:hAnsi="Times New Roman"/>
          <w:sz w:val="24"/>
          <w:szCs w:val="24"/>
        </w:rPr>
        <w:t>development fees—is unlikely to reduce housing prices in the near term and may instead benefit developers.  For example, a 1997 study of developer fees in Contra Costa County by the Public Policy Institute of California found that in some cases, developer fees are passed on to homebuyers, but in other cases developers must absorb the costs.</w:t>
      </w:r>
      <w:r w:rsidR="008C47B0" w:rsidRPr="00D13B39">
        <w:rPr>
          <w:rStyle w:val="FootnoteReference"/>
          <w:rFonts w:ascii="Times New Roman" w:hAnsi="Times New Roman"/>
          <w:sz w:val="24"/>
          <w:szCs w:val="24"/>
        </w:rPr>
        <w:footnoteReference w:id="20"/>
      </w:r>
      <w:r w:rsidR="008C47B0">
        <w:rPr>
          <w:rFonts w:ascii="Times New Roman" w:hAnsi="Times New Roman"/>
        </w:rPr>
        <w:t xml:space="preserve">  </w:t>
      </w:r>
      <w:r w:rsidR="00E130A1">
        <w:rPr>
          <w:rFonts w:ascii="Times New Roman" w:hAnsi="Times New Roman"/>
          <w:sz w:val="24"/>
        </w:rPr>
        <w:t>Thus, while lowering costs might encourage more developers to enter the market</w:t>
      </w:r>
      <w:r w:rsidR="006D2BA6">
        <w:rPr>
          <w:rFonts w:ascii="Times New Roman" w:hAnsi="Times New Roman"/>
          <w:sz w:val="24"/>
        </w:rPr>
        <w:t>--and will certainly benefit affordable housing developers that sell or rent units for less than what it costs them to build—</w:t>
      </w:r>
      <w:r w:rsidR="00E130A1">
        <w:rPr>
          <w:rFonts w:ascii="Times New Roman" w:hAnsi="Times New Roman"/>
          <w:sz w:val="24"/>
        </w:rPr>
        <w:t xml:space="preserve">policymakers should not expect measures to lower development costs </w:t>
      </w:r>
      <w:proofErr w:type="gramStart"/>
      <w:r w:rsidR="00E130A1">
        <w:rPr>
          <w:rFonts w:ascii="Times New Roman" w:hAnsi="Times New Roman"/>
          <w:sz w:val="24"/>
        </w:rPr>
        <w:t>to directly lower</w:t>
      </w:r>
      <w:proofErr w:type="gramEnd"/>
      <w:r w:rsidR="00E130A1">
        <w:rPr>
          <w:rFonts w:ascii="Times New Roman" w:hAnsi="Times New Roman"/>
          <w:sz w:val="24"/>
        </w:rPr>
        <w:t xml:space="preserve"> housing prices.</w:t>
      </w:r>
    </w:p>
    <w:p w14:paraId="707D41A3" w14:textId="5A8F3BDB" w:rsidR="00970DE6" w:rsidRDefault="00E130A1" w:rsidP="00927E43">
      <w:pPr>
        <w:tabs>
          <w:tab w:val="left" w:pos="6120"/>
        </w:tabs>
        <w:rPr>
          <w:rFonts w:ascii="Times New Roman" w:hAnsi="Times New Roman"/>
          <w:sz w:val="24"/>
          <w:szCs w:val="24"/>
        </w:rPr>
      </w:pPr>
      <w:r w:rsidRPr="00E130A1">
        <w:rPr>
          <w:rFonts w:ascii="Times New Roman" w:hAnsi="Times New Roman"/>
          <w:b/>
          <w:i/>
          <w:sz w:val="24"/>
          <w:szCs w:val="24"/>
        </w:rPr>
        <w:t>Developers Control Construction.</w:t>
      </w:r>
      <w:r>
        <w:rPr>
          <w:rFonts w:ascii="Times New Roman" w:hAnsi="Times New Roman"/>
          <w:sz w:val="24"/>
          <w:szCs w:val="24"/>
        </w:rPr>
        <w:t xml:space="preserve">  </w:t>
      </w:r>
      <w:r w:rsidR="00A26B61">
        <w:rPr>
          <w:rFonts w:ascii="Times New Roman" w:hAnsi="Times New Roman"/>
          <w:sz w:val="24"/>
          <w:szCs w:val="24"/>
        </w:rPr>
        <w:t xml:space="preserve">While local governments control housing approvals, developers are ultimately responsible for construction.  </w:t>
      </w:r>
      <w:r w:rsidR="00D95A1B">
        <w:rPr>
          <w:rFonts w:ascii="Times New Roman" w:hAnsi="Times New Roman"/>
          <w:sz w:val="24"/>
          <w:szCs w:val="24"/>
        </w:rPr>
        <w:t>F</w:t>
      </w:r>
      <w:r w:rsidR="00A26B61">
        <w:rPr>
          <w:rFonts w:ascii="Times New Roman" w:hAnsi="Times New Roman"/>
          <w:sz w:val="24"/>
          <w:szCs w:val="24"/>
        </w:rPr>
        <w:t>or-profit developers face incentives to maximize returns from the housing they build, and local governments generally do not control the types of units that get built, such as whether the target market for a particular housing development is high-income or middle-income households.  As a result, builders may emphasize construction of luxury housing.  In addition</w:t>
      </w:r>
      <w:r w:rsidR="00970DE6">
        <w:rPr>
          <w:rFonts w:ascii="Times New Roman" w:hAnsi="Times New Roman"/>
          <w:sz w:val="24"/>
          <w:szCs w:val="24"/>
        </w:rPr>
        <w:t xml:space="preserve">, builders face some incentives to </w:t>
      </w:r>
      <w:r w:rsidR="00A26B61">
        <w:rPr>
          <w:rFonts w:ascii="Times New Roman" w:hAnsi="Times New Roman"/>
          <w:sz w:val="24"/>
          <w:szCs w:val="24"/>
        </w:rPr>
        <w:t xml:space="preserve">gauge the direction of housing prices and to build at times when housing prices are </w:t>
      </w:r>
      <w:r w:rsidR="009C4B7A">
        <w:rPr>
          <w:rFonts w:ascii="Times New Roman" w:hAnsi="Times New Roman"/>
          <w:sz w:val="24"/>
          <w:szCs w:val="24"/>
        </w:rPr>
        <w:t>high</w:t>
      </w:r>
      <w:r w:rsidR="00A26B61">
        <w:rPr>
          <w:rFonts w:ascii="Times New Roman" w:hAnsi="Times New Roman"/>
          <w:sz w:val="24"/>
          <w:szCs w:val="24"/>
        </w:rPr>
        <w:t xml:space="preserve">.  Thus, </w:t>
      </w:r>
      <w:r w:rsidR="00970DE6">
        <w:rPr>
          <w:rFonts w:ascii="Times New Roman" w:hAnsi="Times New Roman"/>
          <w:sz w:val="24"/>
          <w:szCs w:val="24"/>
        </w:rPr>
        <w:t xml:space="preserve">local governments that welcome housing </w:t>
      </w:r>
      <w:r w:rsidR="00A26B61">
        <w:rPr>
          <w:rFonts w:ascii="Times New Roman" w:hAnsi="Times New Roman"/>
          <w:sz w:val="24"/>
          <w:szCs w:val="24"/>
        </w:rPr>
        <w:t xml:space="preserve">may issue the needed approvals to allow new construction, but developers may wait to request the final building </w:t>
      </w:r>
      <w:r w:rsidR="009C4B7A">
        <w:rPr>
          <w:rFonts w:ascii="Times New Roman" w:hAnsi="Times New Roman"/>
          <w:sz w:val="24"/>
          <w:szCs w:val="24"/>
        </w:rPr>
        <w:t>permit</w:t>
      </w:r>
      <w:r w:rsidR="00A26B61">
        <w:rPr>
          <w:rFonts w:ascii="Times New Roman" w:hAnsi="Times New Roman"/>
          <w:sz w:val="24"/>
          <w:szCs w:val="24"/>
        </w:rPr>
        <w:t xml:space="preserve"> </w:t>
      </w:r>
      <w:r w:rsidR="0089629A">
        <w:rPr>
          <w:rFonts w:ascii="Times New Roman" w:hAnsi="Times New Roman"/>
          <w:sz w:val="24"/>
          <w:szCs w:val="24"/>
        </w:rPr>
        <w:t>ne</w:t>
      </w:r>
      <w:bookmarkStart w:id="0" w:name="_GoBack"/>
      <w:bookmarkEnd w:id="0"/>
      <w:r w:rsidR="0089629A">
        <w:rPr>
          <w:rFonts w:ascii="Times New Roman" w:hAnsi="Times New Roman"/>
          <w:sz w:val="24"/>
          <w:szCs w:val="24"/>
        </w:rPr>
        <w:t xml:space="preserve">eded to begin construction </w:t>
      </w:r>
      <w:r w:rsidR="00A26B61">
        <w:rPr>
          <w:rFonts w:ascii="Times New Roman" w:hAnsi="Times New Roman"/>
          <w:sz w:val="24"/>
          <w:szCs w:val="24"/>
        </w:rPr>
        <w:t>if housing prices appear to decline.</w:t>
      </w:r>
    </w:p>
    <w:p w14:paraId="4C03C11C" w14:textId="38C36C44" w:rsidR="00C71B78" w:rsidRPr="00C71B78" w:rsidRDefault="00DD12A0" w:rsidP="00C71B78">
      <w:pPr>
        <w:tabs>
          <w:tab w:val="left" w:pos="6120"/>
        </w:tabs>
        <w:rPr>
          <w:rFonts w:ascii="Times New Roman" w:hAnsi="Times New Roman"/>
          <w:sz w:val="24"/>
          <w:szCs w:val="24"/>
        </w:rPr>
      </w:pPr>
      <w:r>
        <w:rPr>
          <w:rFonts w:ascii="Times New Roman" w:hAnsi="Times New Roman"/>
          <w:b/>
          <w:i/>
          <w:sz w:val="24"/>
          <w:szCs w:val="24"/>
        </w:rPr>
        <w:t xml:space="preserve">Pent-up Demand For Housing Can Dampen </w:t>
      </w:r>
      <w:r w:rsidR="00535194">
        <w:rPr>
          <w:rFonts w:ascii="Times New Roman" w:hAnsi="Times New Roman"/>
          <w:b/>
          <w:i/>
          <w:sz w:val="24"/>
          <w:szCs w:val="24"/>
        </w:rPr>
        <w:t>Effect of New Supply</w:t>
      </w:r>
      <w:r>
        <w:rPr>
          <w:rFonts w:ascii="Times New Roman" w:hAnsi="Times New Roman"/>
          <w:b/>
          <w:i/>
          <w:sz w:val="24"/>
          <w:szCs w:val="24"/>
        </w:rPr>
        <w:t xml:space="preserve"> on Housing Prices. </w:t>
      </w:r>
      <w:r w:rsidR="00594C5E">
        <w:rPr>
          <w:rFonts w:ascii="Times New Roman" w:hAnsi="Times New Roman"/>
          <w:b/>
          <w:i/>
          <w:sz w:val="24"/>
          <w:szCs w:val="24"/>
        </w:rPr>
        <w:t xml:space="preserve"> </w:t>
      </w:r>
      <w:r w:rsidR="00C71B78">
        <w:rPr>
          <w:rFonts w:ascii="Times New Roman" w:hAnsi="Times New Roman"/>
          <w:sz w:val="24"/>
          <w:szCs w:val="24"/>
        </w:rPr>
        <w:t>Finally, some modelling research indicates that even adding large amounts of new housing to desirable areas ha</w:t>
      </w:r>
      <w:r w:rsidR="0080025B">
        <w:rPr>
          <w:rFonts w:ascii="Times New Roman" w:hAnsi="Times New Roman"/>
          <w:sz w:val="24"/>
          <w:szCs w:val="24"/>
        </w:rPr>
        <w:t>s</w:t>
      </w:r>
      <w:r w:rsidR="00C71B78">
        <w:rPr>
          <w:rFonts w:ascii="Times New Roman" w:hAnsi="Times New Roman"/>
          <w:sz w:val="24"/>
          <w:szCs w:val="24"/>
        </w:rPr>
        <w:t xml:space="preserve"> only a modest impact on housing prices and rents in the long run because neighboring residents want to live in the area.  These prospective residents quickly fill the </w:t>
      </w:r>
      <w:proofErr w:type="gramStart"/>
      <w:r w:rsidR="00C71B78">
        <w:rPr>
          <w:rFonts w:ascii="Times New Roman" w:hAnsi="Times New Roman"/>
          <w:sz w:val="24"/>
          <w:szCs w:val="24"/>
        </w:rPr>
        <w:t>newly</w:t>
      </w:r>
      <w:r w:rsidR="00A77704">
        <w:rPr>
          <w:rFonts w:ascii="Times New Roman" w:hAnsi="Times New Roman"/>
          <w:sz w:val="24"/>
          <w:szCs w:val="24"/>
        </w:rPr>
        <w:t>-</w:t>
      </w:r>
      <w:r w:rsidR="00C71B78">
        <w:rPr>
          <w:rFonts w:ascii="Times New Roman" w:hAnsi="Times New Roman"/>
          <w:sz w:val="24"/>
          <w:szCs w:val="24"/>
        </w:rPr>
        <w:t>produced</w:t>
      </w:r>
      <w:proofErr w:type="gramEnd"/>
      <w:r w:rsidR="00C71B78">
        <w:rPr>
          <w:rFonts w:ascii="Times New Roman" w:hAnsi="Times New Roman"/>
          <w:sz w:val="24"/>
          <w:szCs w:val="24"/>
        </w:rPr>
        <w:t xml:space="preserve"> units</w:t>
      </w:r>
      <w:r w:rsidR="00A77704">
        <w:rPr>
          <w:rFonts w:ascii="Times New Roman" w:hAnsi="Times New Roman"/>
          <w:sz w:val="24"/>
          <w:szCs w:val="24"/>
        </w:rPr>
        <w:t>, meaning that competition remains robust for housing, even at high prices</w:t>
      </w:r>
      <w:r w:rsidR="00C71B78">
        <w:rPr>
          <w:rFonts w:ascii="Times New Roman" w:hAnsi="Times New Roman"/>
          <w:sz w:val="24"/>
          <w:szCs w:val="24"/>
        </w:rPr>
        <w:t>.</w:t>
      </w:r>
      <w:r w:rsidR="00C71B78">
        <w:rPr>
          <w:rStyle w:val="FootnoteReference"/>
          <w:rFonts w:ascii="Times New Roman" w:hAnsi="Times New Roman"/>
          <w:sz w:val="24"/>
          <w:szCs w:val="24"/>
        </w:rPr>
        <w:footnoteReference w:id="21"/>
      </w:r>
      <w:r w:rsidR="00C71B78">
        <w:rPr>
          <w:rFonts w:ascii="Times New Roman" w:hAnsi="Times New Roman"/>
          <w:sz w:val="24"/>
          <w:szCs w:val="24"/>
        </w:rPr>
        <w:t xml:space="preserve">  Accordingly, </w:t>
      </w:r>
      <w:r w:rsidR="00A77704">
        <w:rPr>
          <w:rFonts w:ascii="Times New Roman" w:hAnsi="Times New Roman"/>
          <w:sz w:val="24"/>
          <w:szCs w:val="24"/>
        </w:rPr>
        <w:t xml:space="preserve">very large-scale increases in housing supply </w:t>
      </w:r>
      <w:proofErr w:type="gramStart"/>
      <w:r w:rsidR="00A77704">
        <w:rPr>
          <w:rFonts w:ascii="Times New Roman" w:hAnsi="Times New Roman"/>
          <w:sz w:val="24"/>
          <w:szCs w:val="24"/>
        </w:rPr>
        <w:t>may be needed</w:t>
      </w:r>
      <w:proofErr w:type="gramEnd"/>
      <w:r w:rsidR="00A77704">
        <w:rPr>
          <w:rFonts w:ascii="Times New Roman" w:hAnsi="Times New Roman"/>
          <w:sz w:val="24"/>
          <w:szCs w:val="24"/>
        </w:rPr>
        <w:t xml:space="preserve"> to have a meaningful impact on housing prices.  </w:t>
      </w:r>
      <w:r w:rsidR="00C71B78">
        <w:rPr>
          <w:rFonts w:ascii="Times New Roman" w:hAnsi="Times New Roman"/>
          <w:sz w:val="24"/>
          <w:szCs w:val="24"/>
        </w:rPr>
        <w:t xml:space="preserve">(However, </w:t>
      </w:r>
      <w:r w:rsidR="00A77704">
        <w:rPr>
          <w:rFonts w:ascii="Times New Roman" w:hAnsi="Times New Roman"/>
          <w:sz w:val="24"/>
          <w:szCs w:val="24"/>
        </w:rPr>
        <w:t xml:space="preserve">any </w:t>
      </w:r>
      <w:r w:rsidR="00C71B78">
        <w:rPr>
          <w:rFonts w:ascii="Times New Roman" w:hAnsi="Times New Roman"/>
          <w:sz w:val="24"/>
          <w:szCs w:val="24"/>
        </w:rPr>
        <w:t xml:space="preserve">new housing supply may increase overall economic </w:t>
      </w:r>
      <w:r w:rsidR="00C71B78">
        <w:rPr>
          <w:rFonts w:ascii="Times New Roman" w:hAnsi="Times New Roman"/>
          <w:sz w:val="24"/>
          <w:szCs w:val="24"/>
        </w:rPr>
        <w:lastRenderedPageBreak/>
        <w:t>activity and well</w:t>
      </w:r>
      <w:r w:rsidR="00594C5E">
        <w:rPr>
          <w:rFonts w:ascii="Times New Roman" w:hAnsi="Times New Roman"/>
          <w:sz w:val="24"/>
          <w:szCs w:val="24"/>
        </w:rPr>
        <w:t>-</w:t>
      </w:r>
      <w:r w:rsidR="00C71B78">
        <w:rPr>
          <w:rFonts w:ascii="Times New Roman" w:hAnsi="Times New Roman"/>
          <w:sz w:val="24"/>
          <w:szCs w:val="24"/>
        </w:rPr>
        <w:t xml:space="preserve">being </w:t>
      </w:r>
      <w:r w:rsidR="00A77704">
        <w:rPr>
          <w:rFonts w:ascii="Times New Roman" w:hAnsi="Times New Roman"/>
          <w:sz w:val="24"/>
          <w:szCs w:val="24"/>
        </w:rPr>
        <w:t>because</w:t>
      </w:r>
      <w:r w:rsidR="00C71B78">
        <w:rPr>
          <w:rFonts w:ascii="Times New Roman" w:hAnsi="Times New Roman"/>
          <w:sz w:val="24"/>
          <w:szCs w:val="24"/>
        </w:rPr>
        <w:t xml:space="preserve"> more residents are able to live and work in productive areas, raising their wages and lowering their transportation costs.)</w:t>
      </w:r>
    </w:p>
    <w:p w14:paraId="018D420B" w14:textId="6D49D225" w:rsidR="00332067" w:rsidRDefault="009C4B7A" w:rsidP="006B1100">
      <w:pPr>
        <w:tabs>
          <w:tab w:val="left" w:pos="6120"/>
        </w:tabs>
        <w:rPr>
          <w:rFonts w:ascii="Times New Roman" w:hAnsi="Times New Roman"/>
          <w:b/>
          <w:sz w:val="28"/>
          <w:szCs w:val="24"/>
        </w:rPr>
      </w:pPr>
      <w:r>
        <w:rPr>
          <w:rFonts w:ascii="Times New Roman" w:hAnsi="Times New Roman"/>
          <w:b/>
          <w:sz w:val="28"/>
          <w:szCs w:val="24"/>
        </w:rPr>
        <w:t>Recent Legislative Efforts on Land Use and Housing Approvals</w:t>
      </w:r>
    </w:p>
    <w:p w14:paraId="593E887F" w14:textId="610DC318" w:rsidR="003866F7" w:rsidRPr="003866F7" w:rsidRDefault="00332067" w:rsidP="003866F7">
      <w:pPr>
        <w:tabs>
          <w:tab w:val="left" w:pos="6120"/>
        </w:tabs>
        <w:rPr>
          <w:rFonts w:ascii="Times New Roman" w:hAnsi="Times New Roman"/>
          <w:sz w:val="24"/>
          <w:szCs w:val="24"/>
        </w:rPr>
      </w:pPr>
      <w:r w:rsidRPr="008701C3">
        <w:rPr>
          <w:rFonts w:ascii="Times New Roman" w:hAnsi="Times New Roman"/>
          <w:b/>
          <w:i/>
          <w:sz w:val="24"/>
          <w:szCs w:val="24"/>
        </w:rPr>
        <w:t>2017 Housing Package</w:t>
      </w:r>
      <w:r w:rsidR="008701C3" w:rsidRPr="008701C3">
        <w:rPr>
          <w:rFonts w:ascii="Times New Roman" w:hAnsi="Times New Roman"/>
          <w:b/>
          <w:i/>
          <w:sz w:val="24"/>
          <w:szCs w:val="24"/>
        </w:rPr>
        <w:t>.</w:t>
      </w:r>
      <w:r w:rsidR="008701C3">
        <w:rPr>
          <w:rFonts w:ascii="Times New Roman" w:hAnsi="Times New Roman"/>
          <w:sz w:val="24"/>
          <w:szCs w:val="24"/>
        </w:rPr>
        <w:t xml:space="preserve">  </w:t>
      </w:r>
      <w:r w:rsidR="004F598B" w:rsidRPr="004F598B">
        <w:rPr>
          <w:rFonts w:ascii="Times New Roman" w:hAnsi="Times New Roman"/>
          <w:sz w:val="24"/>
        </w:rPr>
        <w:t xml:space="preserve">Last year, the Legislature enacted a substantial package of legislation aimed at addressing the state’s housing crisis.  </w:t>
      </w:r>
      <w:proofErr w:type="gramStart"/>
      <w:r w:rsidR="003866F7" w:rsidRPr="003866F7">
        <w:rPr>
          <w:rFonts w:ascii="Times New Roman" w:hAnsi="Times New Roman"/>
          <w:sz w:val="24"/>
          <w:szCs w:val="24"/>
        </w:rPr>
        <w:t xml:space="preserve">In addition to SB 2 (Atkins, Chapter 364, Statutes of 2017) and SB 3 (Beall, Chapter 365, Statutes of 2017), which provided long- and short-term funding sources for affordable housing construction, </w:t>
      </w:r>
      <w:r w:rsidR="00053456">
        <w:rPr>
          <w:rFonts w:ascii="Times New Roman" w:hAnsi="Times New Roman"/>
          <w:sz w:val="24"/>
          <w:szCs w:val="24"/>
        </w:rPr>
        <w:t>the package</w:t>
      </w:r>
      <w:r w:rsidR="003866F7" w:rsidRPr="003866F7">
        <w:rPr>
          <w:rFonts w:ascii="Times New Roman" w:hAnsi="Times New Roman"/>
          <w:sz w:val="24"/>
          <w:szCs w:val="24"/>
        </w:rPr>
        <w:t xml:space="preserve"> contained several measures that address the housing crisis by streamlining housing approval processes, strengthening existing housing laws, providing more state enforcement power, creating more local accountability, and clarifying existing local zoning powers.</w:t>
      </w:r>
      <w:proofErr w:type="gramEnd"/>
    </w:p>
    <w:p w14:paraId="79B2B5E1" w14:textId="3B73BD3C" w:rsidR="00053456" w:rsidRDefault="00053456" w:rsidP="00053456">
      <w:pPr>
        <w:tabs>
          <w:tab w:val="left" w:pos="6120"/>
        </w:tabs>
        <w:rPr>
          <w:rFonts w:ascii="Times New Roman" w:hAnsi="Times New Roman"/>
          <w:sz w:val="24"/>
        </w:rPr>
      </w:pPr>
      <w:r w:rsidRPr="004F598B">
        <w:rPr>
          <w:rFonts w:ascii="Times New Roman" w:hAnsi="Times New Roman"/>
          <w:sz w:val="24"/>
        </w:rPr>
        <w:t xml:space="preserve">SB 35 (Weiner, 2017) </w:t>
      </w:r>
      <w:r>
        <w:rPr>
          <w:rFonts w:ascii="Times New Roman" w:hAnsi="Times New Roman"/>
          <w:sz w:val="24"/>
        </w:rPr>
        <w:t>established</w:t>
      </w:r>
      <w:r w:rsidRPr="004F598B">
        <w:rPr>
          <w:rFonts w:ascii="Times New Roman" w:hAnsi="Times New Roman"/>
          <w:sz w:val="24"/>
        </w:rPr>
        <w:t xml:space="preserve"> a streamlined, ministerial process for approving housing developments that </w:t>
      </w:r>
      <w:r>
        <w:rPr>
          <w:rFonts w:ascii="Times New Roman" w:hAnsi="Times New Roman"/>
          <w:sz w:val="24"/>
        </w:rPr>
        <w:t>comply</w:t>
      </w:r>
      <w:r w:rsidRPr="004F598B">
        <w:rPr>
          <w:rFonts w:ascii="Times New Roman" w:hAnsi="Times New Roman"/>
          <w:sz w:val="24"/>
        </w:rPr>
        <w:t xml:space="preserve"> with the applicable objective local planning standards—including the general plan, zoning ordinances, and </w:t>
      </w:r>
      <w:proofErr w:type="gramStart"/>
      <w:r w:rsidRPr="004F598B">
        <w:rPr>
          <w:rFonts w:ascii="Times New Roman" w:hAnsi="Times New Roman"/>
          <w:sz w:val="24"/>
        </w:rPr>
        <w:t>objective design review standards</w:t>
      </w:r>
      <w:proofErr w:type="gramEnd"/>
      <w:r w:rsidRPr="004F598B">
        <w:rPr>
          <w:rFonts w:ascii="Times New Roman" w:hAnsi="Times New Roman"/>
          <w:sz w:val="24"/>
        </w:rPr>
        <w:t>.  In addition, to be eligible for streamlining under SB 35, a specified percentage of the total housing units in the development must be affordable to lower-income households (those under 80 percent of area median income</w:t>
      </w:r>
      <w:r>
        <w:rPr>
          <w:rFonts w:ascii="Times New Roman" w:hAnsi="Times New Roman"/>
          <w:sz w:val="24"/>
        </w:rPr>
        <w:t>).</w:t>
      </w:r>
    </w:p>
    <w:p w14:paraId="6632078B" w14:textId="21926394" w:rsidR="003866F7" w:rsidRPr="003866F7" w:rsidRDefault="003866F7" w:rsidP="003866F7">
      <w:pPr>
        <w:tabs>
          <w:tab w:val="left" w:pos="6120"/>
        </w:tabs>
        <w:rPr>
          <w:rFonts w:ascii="Times New Roman" w:hAnsi="Times New Roman"/>
          <w:sz w:val="24"/>
          <w:szCs w:val="24"/>
        </w:rPr>
      </w:pPr>
      <w:r w:rsidRPr="003866F7">
        <w:rPr>
          <w:rFonts w:ascii="Times New Roman" w:hAnsi="Times New Roman"/>
          <w:sz w:val="24"/>
          <w:szCs w:val="24"/>
        </w:rPr>
        <w:t>SB 540 (Roth, Chapter 369, Statutes of 2017) and AB 73 (Chiu, Chapter 371, Statutes of 2017) provide alternatives for expedited housing approvals and streamlining CEQA review.  These bills allow localities to identify zones where CEQA review is conducted “up-front” for the entire zone or district, thus exempting project-level CEQA review.</w:t>
      </w:r>
    </w:p>
    <w:p w14:paraId="7131FCC5" w14:textId="0DC8CBE7" w:rsidR="003866F7" w:rsidRPr="003866F7" w:rsidRDefault="003866F7" w:rsidP="003866F7">
      <w:pPr>
        <w:tabs>
          <w:tab w:val="left" w:pos="6120"/>
        </w:tabs>
        <w:rPr>
          <w:rFonts w:ascii="Times New Roman" w:hAnsi="Times New Roman"/>
          <w:sz w:val="24"/>
          <w:szCs w:val="24"/>
        </w:rPr>
      </w:pPr>
      <w:r w:rsidRPr="003866F7">
        <w:rPr>
          <w:rFonts w:ascii="Times New Roman" w:hAnsi="Times New Roman"/>
          <w:sz w:val="24"/>
          <w:szCs w:val="24"/>
        </w:rPr>
        <w:t xml:space="preserve">AB 1505 (Bloom, Chapter 376, Statutes of 2017) provides flexibility to locals to require affordable housing construction.  </w:t>
      </w:r>
      <w:proofErr w:type="gramStart"/>
      <w:r w:rsidRPr="003866F7">
        <w:rPr>
          <w:rFonts w:ascii="Times New Roman" w:hAnsi="Times New Roman"/>
          <w:sz w:val="24"/>
          <w:szCs w:val="24"/>
        </w:rPr>
        <w:t>Roughly</w:t>
      </w:r>
      <w:proofErr w:type="gramEnd"/>
      <w:r w:rsidRPr="003866F7">
        <w:rPr>
          <w:rFonts w:ascii="Times New Roman" w:hAnsi="Times New Roman"/>
          <w:sz w:val="24"/>
          <w:szCs w:val="24"/>
        </w:rPr>
        <w:t xml:space="preserve"> 170 localities in California have adopted inclusionary ordinances to facilitate and encourage the construction of affordable housing.  A 2009 appellate court decision – </w:t>
      </w:r>
      <w:r w:rsidRPr="00053456">
        <w:rPr>
          <w:rFonts w:ascii="Times New Roman" w:hAnsi="Times New Roman"/>
          <w:i/>
          <w:sz w:val="24"/>
          <w:szCs w:val="24"/>
        </w:rPr>
        <w:t>Palmer v. City of Los Angeles</w:t>
      </w:r>
      <w:r w:rsidRPr="003866F7">
        <w:rPr>
          <w:rFonts w:ascii="Times New Roman" w:hAnsi="Times New Roman"/>
          <w:sz w:val="24"/>
          <w:szCs w:val="24"/>
        </w:rPr>
        <w:t xml:space="preserve"> – for the first time called these policies into question when applied to rental housing.  This bill clarifies that localities have the authority to establish inclusionary housing requirements as a condition of development</w:t>
      </w:r>
      <w:r w:rsidR="00E64960">
        <w:rPr>
          <w:rFonts w:ascii="Times New Roman" w:hAnsi="Times New Roman"/>
          <w:sz w:val="24"/>
          <w:szCs w:val="24"/>
        </w:rPr>
        <w:t xml:space="preserve">, as long as they </w:t>
      </w:r>
      <w:r w:rsidRPr="003866F7">
        <w:rPr>
          <w:rFonts w:ascii="Times New Roman" w:hAnsi="Times New Roman"/>
          <w:sz w:val="24"/>
          <w:szCs w:val="24"/>
        </w:rPr>
        <w:t xml:space="preserve">provide alternatives to construction (such as in lieu fees or land dedication).  </w:t>
      </w:r>
    </w:p>
    <w:p w14:paraId="25BB0F26" w14:textId="48D1D351" w:rsidR="003866F7" w:rsidRPr="003866F7" w:rsidRDefault="003866F7" w:rsidP="003866F7">
      <w:pPr>
        <w:tabs>
          <w:tab w:val="left" w:pos="6120"/>
        </w:tabs>
        <w:rPr>
          <w:rFonts w:ascii="Times New Roman" w:hAnsi="Times New Roman"/>
          <w:sz w:val="24"/>
          <w:szCs w:val="24"/>
        </w:rPr>
      </w:pPr>
      <w:r w:rsidRPr="003866F7">
        <w:rPr>
          <w:rFonts w:ascii="Times New Roman" w:hAnsi="Times New Roman"/>
          <w:sz w:val="24"/>
          <w:szCs w:val="24"/>
        </w:rPr>
        <w:t>SB 167 (Skinner, Chapter 368, Statutes of 2017) and AB 678 (</w:t>
      </w:r>
      <w:proofErr w:type="spellStart"/>
      <w:r w:rsidRPr="003866F7">
        <w:rPr>
          <w:rFonts w:ascii="Times New Roman" w:hAnsi="Times New Roman"/>
          <w:sz w:val="24"/>
          <w:szCs w:val="24"/>
        </w:rPr>
        <w:t>Bocanegra</w:t>
      </w:r>
      <w:proofErr w:type="spellEnd"/>
      <w:r w:rsidRPr="003866F7">
        <w:rPr>
          <w:rFonts w:ascii="Times New Roman" w:hAnsi="Times New Roman"/>
          <w:sz w:val="24"/>
          <w:szCs w:val="24"/>
        </w:rPr>
        <w:t>, Chapter 373, Statutes of 2017) makes changes to strengthen the Housing Accountability Act (HAA)</w:t>
      </w:r>
      <w:r w:rsidR="0085488E">
        <w:rPr>
          <w:rFonts w:ascii="Times New Roman" w:hAnsi="Times New Roman"/>
          <w:sz w:val="24"/>
          <w:szCs w:val="24"/>
        </w:rPr>
        <w:t xml:space="preserve">, which limits </w:t>
      </w:r>
      <w:r w:rsidRPr="003866F7">
        <w:rPr>
          <w:rFonts w:ascii="Times New Roman" w:hAnsi="Times New Roman"/>
          <w:sz w:val="24"/>
          <w:szCs w:val="24"/>
        </w:rPr>
        <w:t>the ability of local agencies to reject or reduce the viability of housing developments without a thorough analysis of the economic, social, and environmental effects of the action.  These bills amend the HAA by</w:t>
      </w:r>
      <w:r w:rsidR="00FC3012">
        <w:rPr>
          <w:rFonts w:ascii="Times New Roman" w:hAnsi="Times New Roman"/>
          <w:sz w:val="24"/>
          <w:szCs w:val="24"/>
        </w:rPr>
        <w:t xml:space="preserve"> </w:t>
      </w:r>
      <w:r w:rsidRPr="003866F7">
        <w:rPr>
          <w:rFonts w:ascii="Times New Roman" w:hAnsi="Times New Roman"/>
          <w:sz w:val="24"/>
          <w:szCs w:val="24"/>
        </w:rPr>
        <w:t>increasing the burden of proof on localities when denying a housing project and</w:t>
      </w:r>
      <w:r w:rsidR="00FC3012">
        <w:rPr>
          <w:rFonts w:ascii="Times New Roman" w:hAnsi="Times New Roman"/>
          <w:sz w:val="24"/>
          <w:szCs w:val="24"/>
        </w:rPr>
        <w:t xml:space="preserve"> </w:t>
      </w:r>
      <w:r w:rsidRPr="003866F7">
        <w:rPr>
          <w:rFonts w:ascii="Times New Roman" w:hAnsi="Times New Roman"/>
          <w:sz w:val="24"/>
          <w:szCs w:val="24"/>
        </w:rPr>
        <w:t xml:space="preserve">imposing fines on those localities that violate state law.  These changes make it more difficult for localities to unlawfully deny a housing project, as well as encourage localities to approve a housing project in the first place. </w:t>
      </w:r>
    </w:p>
    <w:p w14:paraId="192E7761" w14:textId="49DB6A76" w:rsidR="003866F7" w:rsidRPr="003866F7" w:rsidRDefault="003866F7" w:rsidP="003866F7">
      <w:pPr>
        <w:tabs>
          <w:tab w:val="left" w:pos="6120"/>
        </w:tabs>
        <w:rPr>
          <w:rFonts w:ascii="Times New Roman" w:hAnsi="Times New Roman"/>
          <w:sz w:val="24"/>
          <w:szCs w:val="24"/>
        </w:rPr>
      </w:pPr>
      <w:r w:rsidRPr="003866F7">
        <w:rPr>
          <w:rFonts w:ascii="Times New Roman" w:hAnsi="Times New Roman"/>
          <w:sz w:val="24"/>
          <w:szCs w:val="24"/>
        </w:rPr>
        <w:lastRenderedPageBreak/>
        <w:t xml:space="preserve">SB 166 (Skinner, Chapter 367, Statutes of 2017) and AB 1397 (Low, Chapter 375, Statutes of 2017) together strengthen housing element law and ensure locals identify adequate sites for housing construction.  </w:t>
      </w:r>
      <w:r w:rsidR="00053456">
        <w:rPr>
          <w:rFonts w:ascii="Times New Roman" w:hAnsi="Times New Roman"/>
          <w:sz w:val="24"/>
          <w:szCs w:val="24"/>
        </w:rPr>
        <w:t>As described above, t</w:t>
      </w:r>
      <w:r w:rsidRPr="003866F7">
        <w:rPr>
          <w:rFonts w:ascii="Times New Roman" w:hAnsi="Times New Roman"/>
          <w:sz w:val="24"/>
          <w:szCs w:val="24"/>
        </w:rPr>
        <w:t>he state housing element law requires a locality to identify adequate sites in its housing element to meet its share of the regional housing needs assessment.  State law requires HCD to review each community’s housing element for compliance with state housing element law.  These bill</w:t>
      </w:r>
      <w:r w:rsidR="00FB0783">
        <w:rPr>
          <w:rFonts w:ascii="Times New Roman" w:hAnsi="Times New Roman"/>
          <w:sz w:val="24"/>
          <w:szCs w:val="24"/>
        </w:rPr>
        <w:t>s</w:t>
      </w:r>
      <w:r w:rsidRPr="003866F7">
        <w:rPr>
          <w:rFonts w:ascii="Times New Roman" w:hAnsi="Times New Roman"/>
          <w:sz w:val="24"/>
          <w:szCs w:val="24"/>
        </w:rPr>
        <w:t xml:space="preserve"> give HCD authority to find a housing element out of compliance if a locality’s action or failure to take action, including down zoning sites, is inconsistent with state housing element law and may refer a violation to the Attorney General for action. These bills also ensure that as development occurs on sites identified for housing, a locality continues to maintain an ongoing supply of sites available to meet the unmet need for housing for all income levels</w:t>
      </w:r>
      <w:r w:rsidR="00FC3012">
        <w:rPr>
          <w:rFonts w:ascii="Times New Roman" w:hAnsi="Times New Roman"/>
          <w:sz w:val="24"/>
          <w:szCs w:val="24"/>
        </w:rPr>
        <w:t xml:space="preserve"> and </w:t>
      </w:r>
      <w:r w:rsidRPr="003866F7">
        <w:rPr>
          <w:rFonts w:ascii="Times New Roman" w:hAnsi="Times New Roman"/>
          <w:sz w:val="24"/>
          <w:szCs w:val="24"/>
        </w:rPr>
        <w:t xml:space="preserve">tighten the standard for what </w:t>
      </w:r>
      <w:proofErr w:type="gramStart"/>
      <w:r w:rsidRPr="003866F7">
        <w:rPr>
          <w:rFonts w:ascii="Times New Roman" w:hAnsi="Times New Roman"/>
          <w:sz w:val="24"/>
          <w:szCs w:val="24"/>
        </w:rPr>
        <w:t>is considered</w:t>
      </w:r>
      <w:proofErr w:type="gramEnd"/>
      <w:r w:rsidRPr="003866F7">
        <w:rPr>
          <w:rFonts w:ascii="Times New Roman" w:hAnsi="Times New Roman"/>
          <w:sz w:val="24"/>
          <w:szCs w:val="24"/>
        </w:rPr>
        <w:t xml:space="preserve"> an "adequate site" for housing development.</w:t>
      </w:r>
    </w:p>
    <w:p w14:paraId="59E9051A" w14:textId="7B2C2252" w:rsidR="003866F7" w:rsidRPr="008701C3" w:rsidRDefault="00053456" w:rsidP="003866F7">
      <w:pPr>
        <w:tabs>
          <w:tab w:val="left" w:pos="6120"/>
        </w:tabs>
        <w:rPr>
          <w:rFonts w:ascii="Times New Roman" w:hAnsi="Times New Roman"/>
          <w:sz w:val="24"/>
          <w:szCs w:val="24"/>
        </w:rPr>
      </w:pPr>
      <w:r w:rsidRPr="009C4B7A">
        <w:rPr>
          <w:rFonts w:ascii="Times New Roman" w:hAnsi="Times New Roman"/>
          <w:b/>
          <w:i/>
          <w:sz w:val="24"/>
        </w:rPr>
        <w:t xml:space="preserve">2018 Legislation. </w:t>
      </w:r>
      <w:r w:rsidR="003866F7" w:rsidRPr="003866F7">
        <w:rPr>
          <w:rFonts w:ascii="Times New Roman" w:hAnsi="Times New Roman"/>
          <w:sz w:val="24"/>
          <w:szCs w:val="24"/>
        </w:rPr>
        <w:t xml:space="preserve">Following on the heels of the 2017 housing package, the Legislature took further steps in 2018 to encourage housing production.  Two measures, AB 1771 (Bloom, Chapter 989, 2018) and SB 828 (Wiener, Chapter 974, 2018) reform </w:t>
      </w:r>
      <w:r>
        <w:rPr>
          <w:rFonts w:ascii="Times New Roman" w:hAnsi="Times New Roman"/>
          <w:sz w:val="24"/>
          <w:szCs w:val="24"/>
        </w:rPr>
        <w:t xml:space="preserve">RHNA </w:t>
      </w:r>
      <w:r w:rsidR="003866F7" w:rsidRPr="003866F7">
        <w:rPr>
          <w:rFonts w:ascii="Times New Roman" w:hAnsi="Times New Roman"/>
          <w:sz w:val="24"/>
          <w:szCs w:val="24"/>
        </w:rPr>
        <w:t xml:space="preserve">process in an effort to address concerns that the process is driven more by regional politics than housing need.  </w:t>
      </w:r>
      <w:proofErr w:type="gramStart"/>
      <w:r w:rsidR="003866F7" w:rsidRPr="003866F7">
        <w:rPr>
          <w:rFonts w:ascii="Times New Roman" w:hAnsi="Times New Roman"/>
          <w:sz w:val="24"/>
          <w:szCs w:val="24"/>
        </w:rPr>
        <w:t xml:space="preserve">AB 1771 </w:t>
      </w:r>
      <w:r>
        <w:rPr>
          <w:rFonts w:ascii="Times New Roman" w:hAnsi="Times New Roman"/>
          <w:sz w:val="24"/>
          <w:szCs w:val="24"/>
        </w:rPr>
        <w:t>increases</w:t>
      </w:r>
      <w:r w:rsidR="003866F7" w:rsidRPr="003866F7">
        <w:rPr>
          <w:rFonts w:ascii="Times New Roman" w:hAnsi="Times New Roman"/>
          <w:sz w:val="24"/>
          <w:szCs w:val="24"/>
        </w:rPr>
        <w:t xml:space="preserve"> transparency </w:t>
      </w:r>
      <w:r w:rsidR="008A5A00">
        <w:rPr>
          <w:rFonts w:ascii="Times New Roman" w:hAnsi="Times New Roman"/>
          <w:sz w:val="24"/>
          <w:szCs w:val="24"/>
        </w:rPr>
        <w:t xml:space="preserve">in </w:t>
      </w:r>
      <w:r w:rsidR="003866F7" w:rsidRPr="003866F7">
        <w:rPr>
          <w:rFonts w:ascii="Times New Roman" w:hAnsi="Times New Roman"/>
          <w:sz w:val="24"/>
          <w:szCs w:val="24"/>
        </w:rPr>
        <w:t>the process of developing the RHNA allocation, requir</w:t>
      </w:r>
      <w:r>
        <w:rPr>
          <w:rFonts w:ascii="Times New Roman" w:hAnsi="Times New Roman"/>
          <w:sz w:val="24"/>
          <w:szCs w:val="24"/>
        </w:rPr>
        <w:t>es</w:t>
      </w:r>
      <w:r w:rsidR="003866F7" w:rsidRPr="003866F7">
        <w:rPr>
          <w:rFonts w:ascii="Times New Roman" w:hAnsi="Times New Roman"/>
          <w:sz w:val="24"/>
          <w:szCs w:val="24"/>
        </w:rPr>
        <w:t xml:space="preserve"> COGs to consider additional factors such as the number of low-wage jobs versus the number of housing units affordable to those in low-wage jobs, requir</w:t>
      </w:r>
      <w:r>
        <w:rPr>
          <w:rFonts w:ascii="Times New Roman" w:hAnsi="Times New Roman"/>
          <w:sz w:val="24"/>
          <w:szCs w:val="24"/>
        </w:rPr>
        <w:t>es</w:t>
      </w:r>
      <w:r w:rsidR="003866F7" w:rsidRPr="003866F7">
        <w:rPr>
          <w:rFonts w:ascii="Times New Roman" w:hAnsi="Times New Roman"/>
          <w:sz w:val="24"/>
          <w:szCs w:val="24"/>
        </w:rPr>
        <w:t xml:space="preserve"> localities to publicly justify any revisions they may request, and </w:t>
      </w:r>
      <w:r w:rsidR="00FC3012">
        <w:rPr>
          <w:rFonts w:ascii="Times New Roman" w:hAnsi="Times New Roman"/>
          <w:sz w:val="24"/>
          <w:szCs w:val="24"/>
        </w:rPr>
        <w:t>repeals</w:t>
      </w:r>
      <w:r w:rsidR="003866F7" w:rsidRPr="003866F7">
        <w:rPr>
          <w:rFonts w:ascii="Times New Roman" w:hAnsi="Times New Roman"/>
          <w:sz w:val="24"/>
          <w:szCs w:val="24"/>
        </w:rPr>
        <w:t xml:space="preserve"> the existing law authority for localities within a COG to shift allocations among each other.</w:t>
      </w:r>
      <w:proofErr w:type="gramEnd"/>
      <w:r w:rsidR="003866F7" w:rsidRPr="003866F7">
        <w:rPr>
          <w:rFonts w:ascii="Times New Roman" w:hAnsi="Times New Roman"/>
          <w:sz w:val="24"/>
          <w:szCs w:val="24"/>
        </w:rPr>
        <w:t xml:space="preserve">  SB 828 adds to the data COGs must provide to HCD, requiring COGs to provide the overcrowding rate for a comparable housing market and the percentage of cost burdened households versus the rate for a healthy housing market.  SB 828 also authorizes HCD, in determining the RHNA methodology, to make adjustments based on the region’s total projected households, which includes existing households; and prohibits COGs from using prior underproduction of housing, or stable population numbers, in a city or county as justification for a determination or reduction in a city’s or county’s share of the RHNA.</w:t>
      </w:r>
    </w:p>
    <w:p w14:paraId="57F97CC0" w14:textId="019B91A9" w:rsidR="009C4B7A" w:rsidRDefault="006A6CF2" w:rsidP="0096255A">
      <w:pPr>
        <w:pStyle w:val="NoSpacing"/>
        <w:spacing w:after="100" w:afterAutospacing="1"/>
        <w:rPr>
          <w:rFonts w:ascii="Times New Roman" w:hAnsi="Times New Roman"/>
          <w:sz w:val="24"/>
        </w:rPr>
      </w:pPr>
      <w:r>
        <w:rPr>
          <w:rFonts w:ascii="Times New Roman" w:hAnsi="Times New Roman"/>
          <w:sz w:val="24"/>
        </w:rPr>
        <w:t>T</w:t>
      </w:r>
      <w:r w:rsidR="009C4B7A">
        <w:rPr>
          <w:rFonts w:ascii="Times New Roman" w:hAnsi="Times New Roman"/>
          <w:sz w:val="24"/>
        </w:rPr>
        <w:t>he Legislature</w:t>
      </w:r>
      <w:r>
        <w:rPr>
          <w:rFonts w:ascii="Times New Roman" w:hAnsi="Times New Roman"/>
          <w:sz w:val="24"/>
        </w:rPr>
        <w:t xml:space="preserve"> also</w:t>
      </w:r>
      <w:r w:rsidR="009C4B7A">
        <w:rPr>
          <w:rFonts w:ascii="Times New Roman" w:hAnsi="Times New Roman"/>
          <w:sz w:val="24"/>
        </w:rPr>
        <w:t xml:space="preserve"> enacted AB 2923 (Chiu)</w:t>
      </w:r>
      <w:r w:rsidR="00FC3012">
        <w:rPr>
          <w:rFonts w:ascii="Times New Roman" w:hAnsi="Times New Roman"/>
          <w:sz w:val="24"/>
        </w:rPr>
        <w:t>,</w:t>
      </w:r>
      <w:r w:rsidR="009C4B7A" w:rsidRPr="009C4B7A">
        <w:rPr>
          <w:rFonts w:ascii="Times New Roman" w:hAnsi="Times New Roman"/>
          <w:sz w:val="24"/>
        </w:rPr>
        <w:t xml:space="preserve"> </w:t>
      </w:r>
      <w:r w:rsidR="00594C5E">
        <w:rPr>
          <w:rFonts w:ascii="Times New Roman" w:hAnsi="Times New Roman"/>
          <w:sz w:val="24"/>
        </w:rPr>
        <w:t xml:space="preserve">which </w:t>
      </w:r>
      <w:r w:rsidR="009C4B7A" w:rsidRPr="009C4B7A">
        <w:rPr>
          <w:rFonts w:ascii="Times New Roman" w:hAnsi="Times New Roman"/>
          <w:sz w:val="24"/>
        </w:rPr>
        <w:t>requires, until January 1, 2029, certain cities and counties to adopt zoning standards in the San Francisco Bay Area Rapid Transit District’s (BART</w:t>
      </w:r>
      <w:r w:rsidR="009C4B7A">
        <w:rPr>
          <w:rFonts w:ascii="Times New Roman" w:hAnsi="Times New Roman"/>
          <w:sz w:val="24"/>
        </w:rPr>
        <w:t>) transit-oriented development</w:t>
      </w:r>
      <w:r w:rsidR="009C4B7A" w:rsidRPr="009C4B7A">
        <w:rPr>
          <w:rFonts w:ascii="Times New Roman" w:hAnsi="Times New Roman"/>
          <w:sz w:val="24"/>
        </w:rPr>
        <w:t xml:space="preserve"> guidelines</w:t>
      </w:r>
      <w:r w:rsidR="00FC3012">
        <w:rPr>
          <w:rFonts w:ascii="Times New Roman" w:hAnsi="Times New Roman"/>
          <w:sz w:val="24"/>
        </w:rPr>
        <w:t>.  It also</w:t>
      </w:r>
      <w:r w:rsidR="009C4B7A" w:rsidRPr="009C4B7A">
        <w:rPr>
          <w:rFonts w:ascii="Times New Roman" w:hAnsi="Times New Roman"/>
          <w:sz w:val="24"/>
        </w:rPr>
        <w:t xml:space="preserve"> establishes a streamlined a</w:t>
      </w:r>
      <w:r w:rsidR="009C4B7A">
        <w:rPr>
          <w:rFonts w:ascii="Times New Roman" w:hAnsi="Times New Roman"/>
          <w:sz w:val="24"/>
        </w:rPr>
        <w:t>pproval process for pro</w:t>
      </w:r>
      <w:r w:rsidR="009C4B7A" w:rsidRPr="009C4B7A">
        <w:rPr>
          <w:rFonts w:ascii="Times New Roman" w:hAnsi="Times New Roman"/>
          <w:sz w:val="24"/>
        </w:rPr>
        <w:t>jects on BART-owned land</w:t>
      </w:r>
      <w:r w:rsidR="009C4B7A">
        <w:rPr>
          <w:rFonts w:ascii="Times New Roman" w:hAnsi="Times New Roman"/>
          <w:sz w:val="24"/>
        </w:rPr>
        <w:t xml:space="preserve"> that are up to one story taller than the highest allowable residential zoning near the station and have a floor-area ratio of 0.6 or less</w:t>
      </w:r>
      <w:r w:rsidR="009C4B7A" w:rsidRPr="009C4B7A">
        <w:rPr>
          <w:rFonts w:ascii="Times New Roman" w:hAnsi="Times New Roman"/>
          <w:sz w:val="24"/>
        </w:rPr>
        <w:t>.</w:t>
      </w:r>
      <w:r w:rsidR="009C4B7A">
        <w:rPr>
          <w:rFonts w:ascii="Times New Roman" w:hAnsi="Times New Roman"/>
          <w:sz w:val="24"/>
        </w:rPr>
        <w:t xml:space="preserve">  AB 2923 requires 20% of the units constructed under its authority to be affordable to lower-income families and requires skilled and trained workforces to </w:t>
      </w:r>
      <w:proofErr w:type="gramStart"/>
      <w:r w:rsidR="009C4B7A">
        <w:rPr>
          <w:rFonts w:ascii="Times New Roman" w:hAnsi="Times New Roman"/>
          <w:sz w:val="24"/>
        </w:rPr>
        <w:t>be employed</w:t>
      </w:r>
      <w:proofErr w:type="gramEnd"/>
      <w:r w:rsidR="009C4B7A">
        <w:rPr>
          <w:rFonts w:ascii="Times New Roman" w:hAnsi="Times New Roman"/>
          <w:sz w:val="24"/>
        </w:rPr>
        <w:t xml:space="preserve"> on the projects, among other labor protections.  </w:t>
      </w:r>
    </w:p>
    <w:p w14:paraId="482FA4CF" w14:textId="77777777" w:rsidR="006A6CF2" w:rsidRDefault="006A6CF2" w:rsidP="0096255A">
      <w:pPr>
        <w:pStyle w:val="NoSpacing"/>
        <w:spacing w:after="100" w:afterAutospacing="1"/>
        <w:rPr>
          <w:rFonts w:ascii="Times New Roman" w:hAnsi="Times New Roman"/>
          <w:sz w:val="24"/>
        </w:rPr>
      </w:pPr>
    </w:p>
    <w:p w14:paraId="46D8FF2C" w14:textId="5B0FA080" w:rsidR="006B1100" w:rsidRPr="006B1100" w:rsidRDefault="006B1100" w:rsidP="006B1100">
      <w:pPr>
        <w:tabs>
          <w:tab w:val="left" w:pos="6120"/>
        </w:tabs>
        <w:rPr>
          <w:rFonts w:ascii="Times New Roman" w:hAnsi="Times New Roman"/>
          <w:b/>
          <w:sz w:val="28"/>
          <w:szCs w:val="24"/>
        </w:rPr>
      </w:pPr>
      <w:r w:rsidRPr="006B1100">
        <w:rPr>
          <w:rFonts w:ascii="Times New Roman" w:hAnsi="Times New Roman"/>
          <w:b/>
          <w:sz w:val="28"/>
          <w:szCs w:val="24"/>
        </w:rPr>
        <w:lastRenderedPageBreak/>
        <w:t>Next Steps</w:t>
      </w:r>
    </w:p>
    <w:p w14:paraId="17A12CDB" w14:textId="47FDD24A" w:rsidR="00A565F9" w:rsidRDefault="006B1100" w:rsidP="006B1100">
      <w:pPr>
        <w:tabs>
          <w:tab w:val="left" w:pos="6120"/>
        </w:tabs>
        <w:rPr>
          <w:rFonts w:ascii="Times New Roman" w:hAnsi="Times New Roman"/>
          <w:sz w:val="24"/>
          <w:szCs w:val="24"/>
        </w:rPr>
      </w:pPr>
      <w:r>
        <w:rPr>
          <w:rFonts w:ascii="Times New Roman" w:hAnsi="Times New Roman"/>
          <w:sz w:val="24"/>
          <w:szCs w:val="24"/>
        </w:rPr>
        <w:t>The</w:t>
      </w:r>
      <w:r w:rsidRPr="006B1100">
        <w:rPr>
          <w:rFonts w:ascii="Times New Roman" w:hAnsi="Times New Roman"/>
          <w:sz w:val="24"/>
          <w:szCs w:val="24"/>
        </w:rPr>
        <w:t xml:space="preserve"> two committees will be exploring solutions that can be adopted to effect change at a regional level—acknowledging that one size does not fit all and that solutions that apply to the state’s major metropolitan areas may not work in rural or suburban areas. At the same time, these solutions must ensure that all communities across the state do their part to address the housing crisis.  These solutions may include policy changes and financial incentives, and a successful path forward will include both carrots and sticks to encourage cities and counties to permit housing—some of which will be unpopular among local officials and others that </w:t>
      </w:r>
      <w:proofErr w:type="gramStart"/>
      <w:r w:rsidRPr="006B1100">
        <w:rPr>
          <w:rFonts w:ascii="Times New Roman" w:hAnsi="Times New Roman"/>
          <w:sz w:val="24"/>
          <w:szCs w:val="24"/>
        </w:rPr>
        <w:t>will be welcomed</w:t>
      </w:r>
      <w:proofErr w:type="gramEnd"/>
      <w:r w:rsidRPr="006B1100">
        <w:rPr>
          <w:rFonts w:ascii="Times New Roman" w:hAnsi="Times New Roman"/>
          <w:sz w:val="24"/>
          <w:szCs w:val="24"/>
        </w:rPr>
        <w:t>.</w:t>
      </w:r>
    </w:p>
    <w:p w14:paraId="6EBCA95D" w14:textId="3C73F065" w:rsidR="006B1100" w:rsidRPr="006B1100" w:rsidRDefault="006B1100" w:rsidP="006B1100">
      <w:pPr>
        <w:tabs>
          <w:tab w:val="left" w:pos="6120"/>
        </w:tabs>
        <w:rPr>
          <w:rFonts w:ascii="Times New Roman" w:hAnsi="Times New Roman"/>
          <w:sz w:val="24"/>
          <w:szCs w:val="24"/>
        </w:rPr>
      </w:pPr>
      <w:r>
        <w:rPr>
          <w:rFonts w:ascii="Times New Roman" w:hAnsi="Times New Roman"/>
          <w:sz w:val="24"/>
          <w:szCs w:val="24"/>
        </w:rPr>
        <w:t>A successful approach will combine funds for affordable</w:t>
      </w:r>
      <w:r w:rsidR="00E64960">
        <w:rPr>
          <w:rFonts w:ascii="Times New Roman" w:hAnsi="Times New Roman"/>
          <w:sz w:val="24"/>
          <w:szCs w:val="24"/>
        </w:rPr>
        <w:t xml:space="preserve"> </w:t>
      </w:r>
      <w:r w:rsidR="008A5A00">
        <w:rPr>
          <w:rFonts w:ascii="Times New Roman" w:hAnsi="Times New Roman"/>
          <w:sz w:val="24"/>
          <w:szCs w:val="24"/>
        </w:rPr>
        <w:t>housing</w:t>
      </w:r>
      <w:r>
        <w:rPr>
          <w:rFonts w:ascii="Times New Roman" w:hAnsi="Times New Roman"/>
          <w:sz w:val="24"/>
          <w:szCs w:val="24"/>
        </w:rPr>
        <w:t xml:space="preserve"> </w:t>
      </w:r>
      <w:proofErr w:type="gramStart"/>
      <w:r w:rsidR="0096255A">
        <w:rPr>
          <w:rFonts w:ascii="Times New Roman" w:hAnsi="Times New Roman"/>
          <w:sz w:val="24"/>
          <w:szCs w:val="24"/>
        </w:rPr>
        <w:t>to immediately produce</w:t>
      </w:r>
      <w:proofErr w:type="gramEnd"/>
      <w:r w:rsidR="0096255A">
        <w:rPr>
          <w:rFonts w:ascii="Times New Roman" w:hAnsi="Times New Roman"/>
          <w:sz w:val="24"/>
          <w:szCs w:val="24"/>
        </w:rPr>
        <w:t xml:space="preserve"> housing needed for the most vulnerable Californians along </w:t>
      </w:r>
      <w:r>
        <w:rPr>
          <w:rFonts w:ascii="Times New Roman" w:hAnsi="Times New Roman"/>
          <w:sz w:val="24"/>
          <w:szCs w:val="24"/>
        </w:rPr>
        <w:t xml:space="preserve">with </w:t>
      </w:r>
      <w:r w:rsidR="0096255A">
        <w:rPr>
          <w:rFonts w:ascii="Times New Roman" w:hAnsi="Times New Roman"/>
          <w:sz w:val="24"/>
          <w:szCs w:val="24"/>
        </w:rPr>
        <w:t xml:space="preserve">steps that increase </w:t>
      </w:r>
      <w:r>
        <w:rPr>
          <w:rFonts w:ascii="Times New Roman" w:hAnsi="Times New Roman"/>
          <w:sz w:val="24"/>
          <w:szCs w:val="24"/>
        </w:rPr>
        <w:t>market</w:t>
      </w:r>
      <w:r w:rsidR="0096255A">
        <w:rPr>
          <w:rFonts w:ascii="Times New Roman" w:hAnsi="Times New Roman"/>
          <w:sz w:val="24"/>
          <w:szCs w:val="24"/>
        </w:rPr>
        <w:t>-</w:t>
      </w:r>
      <w:r>
        <w:rPr>
          <w:rFonts w:ascii="Times New Roman" w:hAnsi="Times New Roman"/>
          <w:sz w:val="24"/>
          <w:szCs w:val="24"/>
        </w:rPr>
        <w:t>rate</w:t>
      </w:r>
      <w:r w:rsidR="0096255A">
        <w:rPr>
          <w:rFonts w:ascii="Times New Roman" w:hAnsi="Times New Roman"/>
          <w:sz w:val="24"/>
          <w:szCs w:val="24"/>
        </w:rPr>
        <w:t xml:space="preserve"> housing production</w:t>
      </w:r>
      <w:r>
        <w:rPr>
          <w:rFonts w:ascii="Times New Roman" w:hAnsi="Times New Roman"/>
          <w:sz w:val="24"/>
          <w:szCs w:val="24"/>
        </w:rPr>
        <w:t xml:space="preserve"> </w:t>
      </w:r>
      <w:r w:rsidR="0096255A">
        <w:rPr>
          <w:rFonts w:ascii="Times New Roman" w:hAnsi="Times New Roman"/>
          <w:sz w:val="24"/>
          <w:szCs w:val="24"/>
        </w:rPr>
        <w:t xml:space="preserve">to prevent the crisis from worsening and to reduce rents in the long </w:t>
      </w:r>
      <w:r w:rsidR="004F455F">
        <w:rPr>
          <w:rFonts w:ascii="Times New Roman" w:hAnsi="Times New Roman"/>
          <w:sz w:val="24"/>
          <w:szCs w:val="24"/>
        </w:rPr>
        <w:t>term</w:t>
      </w:r>
      <w:r w:rsidR="0096255A">
        <w:rPr>
          <w:rFonts w:ascii="Times New Roman" w:hAnsi="Times New Roman"/>
          <w:sz w:val="24"/>
          <w:szCs w:val="24"/>
        </w:rPr>
        <w:t>.</w:t>
      </w:r>
    </w:p>
    <w:sectPr w:rsidR="006B1100" w:rsidRPr="006B1100" w:rsidSect="00E85E40">
      <w:headerReference w:type="default" r:id="rId10"/>
      <w:footerReference w:type="default" r:id="rId11"/>
      <w:type w:val="continuous"/>
      <w:pgSz w:w="12240" w:h="15840"/>
      <w:pgMar w:top="1440" w:right="1440" w:bottom="1354" w:left="1440" w:header="720" w:footer="720" w:gutter="0"/>
      <w:paperSrc w:first="260"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34605" w14:textId="77777777" w:rsidR="003929FE" w:rsidRDefault="003929FE" w:rsidP="00A47AC0">
      <w:pPr>
        <w:spacing w:after="0" w:line="240" w:lineRule="auto"/>
      </w:pPr>
      <w:r>
        <w:separator/>
      </w:r>
    </w:p>
  </w:endnote>
  <w:endnote w:type="continuationSeparator" w:id="0">
    <w:p w14:paraId="2A4FA9E4" w14:textId="77777777" w:rsidR="003929FE" w:rsidRDefault="003929FE" w:rsidP="00A47AC0">
      <w:pPr>
        <w:spacing w:after="0" w:line="240" w:lineRule="auto"/>
      </w:pPr>
      <w:r>
        <w:continuationSeparator/>
      </w:r>
    </w:p>
  </w:endnote>
  <w:endnote w:type="continuationNotice" w:id="1">
    <w:p w14:paraId="526688D3" w14:textId="77777777" w:rsidR="003929FE" w:rsidRDefault="00392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282250"/>
      <w:docPartObj>
        <w:docPartGallery w:val="Page Numbers (Bottom of Page)"/>
        <w:docPartUnique/>
      </w:docPartObj>
    </w:sdtPr>
    <w:sdtEndPr>
      <w:rPr>
        <w:rFonts w:ascii="Times New Roman" w:hAnsi="Times New Roman"/>
        <w:noProof/>
        <w:sz w:val="24"/>
      </w:rPr>
    </w:sdtEndPr>
    <w:sdtContent>
      <w:p w14:paraId="0630FA3E" w14:textId="0C84492A" w:rsidR="00F1508C" w:rsidRPr="00442A56" w:rsidRDefault="00F1508C">
        <w:pPr>
          <w:pStyle w:val="Footer"/>
          <w:jc w:val="right"/>
          <w:rPr>
            <w:rFonts w:ascii="Times New Roman" w:hAnsi="Times New Roman"/>
            <w:sz w:val="24"/>
          </w:rPr>
        </w:pPr>
        <w:r w:rsidRPr="00442A56">
          <w:rPr>
            <w:rFonts w:ascii="Times New Roman" w:hAnsi="Times New Roman"/>
            <w:sz w:val="24"/>
          </w:rPr>
          <w:fldChar w:fldCharType="begin"/>
        </w:r>
        <w:r w:rsidRPr="00442A56">
          <w:rPr>
            <w:rFonts w:ascii="Times New Roman" w:hAnsi="Times New Roman"/>
            <w:sz w:val="24"/>
          </w:rPr>
          <w:instrText xml:space="preserve"> PAGE   \* MERGEFORMAT </w:instrText>
        </w:r>
        <w:r w:rsidRPr="00442A56">
          <w:rPr>
            <w:rFonts w:ascii="Times New Roman" w:hAnsi="Times New Roman"/>
            <w:sz w:val="24"/>
          </w:rPr>
          <w:fldChar w:fldCharType="separate"/>
        </w:r>
        <w:r w:rsidR="0089629A">
          <w:rPr>
            <w:rFonts w:ascii="Times New Roman" w:hAnsi="Times New Roman"/>
            <w:noProof/>
            <w:sz w:val="24"/>
          </w:rPr>
          <w:t>14</w:t>
        </w:r>
        <w:r w:rsidRPr="00442A56">
          <w:rPr>
            <w:rFonts w:ascii="Times New Roman" w:hAnsi="Times New Roman"/>
            <w:noProof/>
            <w:sz w:val="24"/>
          </w:rPr>
          <w:fldChar w:fldCharType="end"/>
        </w:r>
      </w:p>
    </w:sdtContent>
  </w:sdt>
  <w:p w14:paraId="1FFCDAB7" w14:textId="1F85C2A5" w:rsidR="00F1508C" w:rsidRPr="002A69F5" w:rsidRDefault="00F1508C" w:rsidP="00557FD7">
    <w:pPr>
      <w:pStyle w:val="Footer"/>
      <w:tabs>
        <w:tab w:val="clear" w:pos="4680"/>
        <w:tab w:val="clear" w:pos="9360"/>
        <w:tab w:val="left" w:pos="2240"/>
      </w:tabs>
      <w:rPr>
        <w:rFonts w:ascii="Times New Roman" w:hAnsi="Times New Roman"/>
      </w:rPr>
    </w:pP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E11E2" w14:textId="77777777" w:rsidR="003929FE" w:rsidRDefault="003929FE" w:rsidP="00A47AC0">
      <w:pPr>
        <w:spacing w:after="0" w:line="240" w:lineRule="auto"/>
      </w:pPr>
      <w:r>
        <w:separator/>
      </w:r>
    </w:p>
  </w:footnote>
  <w:footnote w:type="continuationSeparator" w:id="0">
    <w:p w14:paraId="1392A73C" w14:textId="77777777" w:rsidR="003929FE" w:rsidRDefault="003929FE" w:rsidP="00A47AC0">
      <w:pPr>
        <w:spacing w:after="0" w:line="240" w:lineRule="auto"/>
      </w:pPr>
      <w:r>
        <w:continuationSeparator/>
      </w:r>
    </w:p>
  </w:footnote>
  <w:footnote w:type="continuationNotice" w:id="1">
    <w:p w14:paraId="0FB71F43" w14:textId="77777777" w:rsidR="003929FE" w:rsidRDefault="003929FE">
      <w:pPr>
        <w:spacing w:after="0" w:line="240" w:lineRule="auto"/>
      </w:pPr>
    </w:p>
  </w:footnote>
  <w:footnote w:id="2">
    <w:p w14:paraId="12FD6041" w14:textId="77777777" w:rsidR="003929FE" w:rsidRPr="000E5ACD" w:rsidRDefault="003929FE" w:rsidP="003929FE">
      <w:pPr>
        <w:pStyle w:val="FootnoteText"/>
        <w:rPr>
          <w:rFonts w:ascii="Times New Roman" w:hAnsi="Times New Roman"/>
        </w:rPr>
      </w:pPr>
      <w:r w:rsidRPr="000E5ACD">
        <w:rPr>
          <w:rStyle w:val="FootnoteReference"/>
          <w:rFonts w:ascii="Times New Roman" w:hAnsi="Times New Roman"/>
        </w:rPr>
        <w:footnoteRef/>
      </w:r>
      <w:r w:rsidRPr="000E5ACD">
        <w:rPr>
          <w:rFonts w:ascii="Times New Roman" w:hAnsi="Times New Roman"/>
        </w:rPr>
        <w:t xml:space="preserve"> According to the United States Interagency Council on Homelessness, “</w:t>
      </w:r>
      <w:r w:rsidRPr="000E5ACD">
        <w:rPr>
          <w:rFonts w:ascii="Times New Roman" w:hAnsi="Times New Roman"/>
          <w:color w:val="333333"/>
          <w:shd w:val="clear" w:color="auto" w:fill="FFFFFF"/>
        </w:rPr>
        <w:t xml:space="preserve">housing first offers individuals and families experiencing homelessness immediate access to permanent affordable or supportive housing. Without clinical prerequisites like completion of a course of treatment or evidence of sobriety and with a low-threshold for entry, Housing First yields higher housing retention rates, lower returns to homelessness, and significant reductions in the use of crisis service and institutions.”  </w:t>
      </w:r>
    </w:p>
  </w:footnote>
  <w:footnote w:id="3">
    <w:p w14:paraId="05E583E1" w14:textId="54BBC321" w:rsidR="00F1508C" w:rsidRPr="003929FE" w:rsidRDefault="00F1508C" w:rsidP="003929FE">
      <w:pPr>
        <w:pStyle w:val="FootnoteText"/>
        <w:spacing w:line="240" w:lineRule="auto"/>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Alamo, Chas and Brian Uhler.  “California’s High Housing Costs: Causes and Consequences.”  Legislative Analyst’s Office, March 2015.</w:t>
      </w:r>
    </w:p>
  </w:footnote>
  <w:footnote w:id="4">
    <w:p w14:paraId="3347D255" w14:textId="0300935C" w:rsidR="00815126" w:rsidRDefault="00815126" w:rsidP="003929FE">
      <w:pPr>
        <w:pStyle w:val="FootnoteText"/>
        <w:spacing w:line="240" w:lineRule="auto"/>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Romem</w:t>
      </w:r>
      <w:proofErr w:type="spellEnd"/>
      <w:r w:rsidRPr="003929FE">
        <w:rPr>
          <w:rFonts w:ascii="Times New Roman" w:hAnsi="Times New Roman"/>
        </w:rPr>
        <w:t xml:space="preserve">, </w:t>
      </w:r>
      <w:proofErr w:type="spellStart"/>
      <w:r w:rsidRPr="003929FE">
        <w:rPr>
          <w:rFonts w:ascii="Times New Roman" w:hAnsi="Times New Roman"/>
        </w:rPr>
        <w:t>Issi</w:t>
      </w:r>
      <w:proofErr w:type="spellEnd"/>
      <w:r w:rsidRPr="003929FE">
        <w:rPr>
          <w:rFonts w:ascii="Times New Roman" w:hAnsi="Times New Roman"/>
        </w:rPr>
        <w:t xml:space="preserve">.  “America’s New Metropolitan Landscape: Pockets </w:t>
      </w:r>
      <w:proofErr w:type="gramStart"/>
      <w:r w:rsidRPr="003929FE">
        <w:rPr>
          <w:rFonts w:ascii="Times New Roman" w:hAnsi="Times New Roman"/>
        </w:rPr>
        <w:t>Of Dense Construction In A</w:t>
      </w:r>
      <w:proofErr w:type="gramEnd"/>
      <w:r w:rsidRPr="003929FE">
        <w:rPr>
          <w:rFonts w:ascii="Times New Roman" w:hAnsi="Times New Roman"/>
        </w:rPr>
        <w:t xml:space="preserve"> Dormant Suburban Interior.”  </w:t>
      </w:r>
      <w:proofErr w:type="spellStart"/>
      <w:r w:rsidRPr="003929FE">
        <w:rPr>
          <w:rFonts w:ascii="Times New Roman" w:hAnsi="Times New Roman"/>
        </w:rPr>
        <w:t>BuildZoom</w:t>
      </w:r>
      <w:proofErr w:type="spellEnd"/>
      <w:r w:rsidRPr="003929FE">
        <w:rPr>
          <w:rFonts w:ascii="Times New Roman" w:hAnsi="Times New Roman"/>
        </w:rPr>
        <w:t>, February 2018.</w:t>
      </w:r>
    </w:p>
  </w:footnote>
  <w:footnote w:id="5">
    <w:p w14:paraId="51BDB20C" w14:textId="77777777" w:rsidR="00ED2398" w:rsidRPr="003929FE" w:rsidRDefault="00ED2398" w:rsidP="00A43AF4">
      <w:pPr>
        <w:pStyle w:val="FootnoteText"/>
        <w:spacing w:line="240" w:lineRule="auto"/>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Manville, M. and Osman, T. (2017), Motivations for Growth Revolts: Discretion and Pretext as Sources of Development Conflict. City &amp; Community, 16: 66-85. </w:t>
      </w:r>
    </w:p>
  </w:footnote>
  <w:footnote w:id="6">
    <w:p w14:paraId="3815231B" w14:textId="77777777" w:rsidR="00030A59" w:rsidRPr="003929FE" w:rsidRDefault="00030A59" w:rsidP="003929FE">
      <w:pPr>
        <w:pStyle w:val="FootnoteText"/>
        <w:spacing w:line="240" w:lineRule="auto"/>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Emrath</w:t>
      </w:r>
      <w:proofErr w:type="spellEnd"/>
      <w:r w:rsidRPr="003929FE">
        <w:rPr>
          <w:rFonts w:ascii="Times New Roman" w:hAnsi="Times New Roman"/>
        </w:rPr>
        <w:t>, Paul and Caitlin Walter.  “Multifamily Cost of Regulation.”  National Association of Home Builders and National Multifamily Housing Council, 2018.</w:t>
      </w:r>
    </w:p>
  </w:footnote>
  <w:footnote w:id="7">
    <w:p w14:paraId="0DE5FE59" w14:textId="2EF02DE9" w:rsidR="008701C3" w:rsidRDefault="008701C3" w:rsidP="003929FE">
      <w:pPr>
        <w:pStyle w:val="FootnoteText"/>
        <w:spacing w:line="240" w:lineRule="auto"/>
      </w:pPr>
      <w:r w:rsidRPr="003929FE">
        <w:rPr>
          <w:rStyle w:val="FootnoteReference"/>
          <w:rFonts w:ascii="Times New Roman" w:hAnsi="Times New Roman"/>
        </w:rPr>
        <w:footnoteRef/>
      </w:r>
      <w:r w:rsidRPr="003929FE">
        <w:rPr>
          <w:rFonts w:ascii="Times New Roman" w:hAnsi="Times New Roman"/>
        </w:rPr>
        <w:t xml:space="preserve"> McLaughlin, Ralph.  “Is your town building enough housing?”  Trulia Research, July 2016.</w:t>
      </w:r>
      <w:r>
        <w:t xml:space="preserve">  </w:t>
      </w:r>
    </w:p>
  </w:footnote>
  <w:footnote w:id="8">
    <w:p w14:paraId="3BE9210A" w14:textId="77777777" w:rsidR="00A43AF4" w:rsidRPr="003929FE" w:rsidRDefault="00A43AF4" w:rsidP="003929FE">
      <w:pPr>
        <w:pStyle w:val="FootnoteText"/>
        <w:spacing w:line="240" w:lineRule="auto"/>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Salvati</w:t>
      </w:r>
      <w:proofErr w:type="spellEnd"/>
      <w:r w:rsidRPr="003929FE">
        <w:rPr>
          <w:rFonts w:ascii="Times New Roman" w:hAnsi="Times New Roman"/>
        </w:rPr>
        <w:t xml:space="preserve">, Chris.  “Housing Shortage: Where is the Undersupply of New Construction Worst?”  </w:t>
      </w:r>
      <w:r w:rsidRPr="003929FE">
        <w:rPr>
          <w:rFonts w:ascii="Times New Roman" w:hAnsi="Times New Roman"/>
          <w:i/>
        </w:rPr>
        <w:t>Apartment List</w:t>
      </w:r>
      <w:r w:rsidRPr="003929FE">
        <w:rPr>
          <w:rFonts w:ascii="Times New Roman" w:hAnsi="Times New Roman"/>
        </w:rPr>
        <w:t>, July 2017.</w:t>
      </w:r>
    </w:p>
  </w:footnote>
  <w:footnote w:id="9">
    <w:p w14:paraId="7B03A264" w14:textId="34CFEAF4" w:rsidR="006A5323" w:rsidRPr="003929FE" w:rsidRDefault="006A5323" w:rsidP="003929FE">
      <w:pPr>
        <w:pStyle w:val="FootnoteText"/>
        <w:spacing w:line="240" w:lineRule="auto"/>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Quigley, John and Steven Raphael. “Regulation and the High Cost of Housing in California.” </w:t>
      </w:r>
      <w:r w:rsidRPr="003929FE">
        <w:rPr>
          <w:rFonts w:ascii="Times New Roman" w:hAnsi="Times New Roman"/>
          <w:i/>
        </w:rPr>
        <w:t xml:space="preserve">American Economic Review </w:t>
      </w:r>
      <w:r w:rsidRPr="003929FE">
        <w:rPr>
          <w:rFonts w:ascii="Times New Roman" w:hAnsi="Times New Roman"/>
        </w:rPr>
        <w:t>95, 323–328, 2005.</w:t>
      </w:r>
    </w:p>
  </w:footnote>
  <w:footnote w:id="10">
    <w:p w14:paraId="5AD9DD39" w14:textId="4B21FFD3" w:rsidR="00C34D30" w:rsidRDefault="00C34D30" w:rsidP="003929FE">
      <w:pPr>
        <w:pStyle w:val="FootnoteText"/>
        <w:spacing w:line="240" w:lineRule="auto"/>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Kok</w:t>
      </w:r>
      <w:proofErr w:type="spellEnd"/>
      <w:r w:rsidRPr="003929FE">
        <w:rPr>
          <w:rFonts w:ascii="Times New Roman" w:hAnsi="Times New Roman"/>
        </w:rPr>
        <w:t xml:space="preserve">, </w:t>
      </w:r>
      <w:proofErr w:type="spellStart"/>
      <w:r w:rsidRPr="003929FE">
        <w:rPr>
          <w:rFonts w:ascii="Times New Roman" w:hAnsi="Times New Roman"/>
        </w:rPr>
        <w:t>Monkkonen</w:t>
      </w:r>
      <w:proofErr w:type="spellEnd"/>
      <w:r w:rsidRPr="003929FE">
        <w:rPr>
          <w:rFonts w:ascii="Times New Roman" w:hAnsi="Times New Roman"/>
        </w:rPr>
        <w:t xml:space="preserve">, and Quigley. “Land use regulations and the value of land and housing: An intra-metropolitan analysis.” </w:t>
      </w:r>
      <w:r w:rsidRPr="003929FE">
        <w:rPr>
          <w:rFonts w:ascii="Times New Roman" w:hAnsi="Times New Roman"/>
          <w:i/>
        </w:rPr>
        <w:t>Journal of Urban Economics</w:t>
      </w:r>
      <w:r w:rsidRPr="003929FE">
        <w:rPr>
          <w:rFonts w:ascii="Times New Roman" w:hAnsi="Times New Roman"/>
        </w:rPr>
        <w:t xml:space="preserve"> 81 (2014) 136–148.</w:t>
      </w:r>
    </w:p>
  </w:footnote>
  <w:footnote w:id="11">
    <w:p w14:paraId="1C21F652" w14:textId="286F47BE" w:rsidR="00C34D30" w:rsidRPr="003929FE" w:rsidRDefault="00C34D30" w:rsidP="003929FE">
      <w:pPr>
        <w:pStyle w:val="FootnoteText"/>
        <w:spacing w:line="240" w:lineRule="auto"/>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Saiz</w:t>
      </w:r>
      <w:proofErr w:type="spellEnd"/>
      <w:r w:rsidRPr="003929FE">
        <w:rPr>
          <w:rFonts w:ascii="Times New Roman" w:hAnsi="Times New Roman"/>
        </w:rPr>
        <w:t>, Albert.  “The Geographic Determinants of Housing Supply.”</w:t>
      </w:r>
      <w:r w:rsidRPr="003929FE">
        <w:rPr>
          <w:rFonts w:ascii="Times New Roman" w:hAnsi="Times New Roman"/>
          <w:i/>
        </w:rPr>
        <w:t xml:space="preserve">  The Quarterly Journal of Economics</w:t>
      </w:r>
      <w:r w:rsidRPr="003929FE">
        <w:rPr>
          <w:rFonts w:ascii="Times New Roman" w:hAnsi="Times New Roman"/>
        </w:rPr>
        <w:t>, August 2010.</w:t>
      </w:r>
    </w:p>
  </w:footnote>
  <w:footnote w:id="12">
    <w:p w14:paraId="776E5C76" w14:textId="77777777" w:rsidR="00FE1194" w:rsidRPr="003929FE" w:rsidRDefault="00FE1194" w:rsidP="003929FE">
      <w:pPr>
        <w:pStyle w:val="FootnoteText"/>
        <w:spacing w:line="240" w:lineRule="auto"/>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Zuk</w:t>
      </w:r>
      <w:proofErr w:type="spellEnd"/>
      <w:r w:rsidRPr="003929FE">
        <w:rPr>
          <w:rFonts w:ascii="Times New Roman" w:hAnsi="Times New Roman"/>
        </w:rPr>
        <w:t xml:space="preserve">, Miriam and Karen </w:t>
      </w:r>
      <w:proofErr w:type="spellStart"/>
      <w:r w:rsidRPr="003929FE">
        <w:rPr>
          <w:rFonts w:ascii="Times New Roman" w:hAnsi="Times New Roman"/>
        </w:rPr>
        <w:t>Chapple</w:t>
      </w:r>
      <w:proofErr w:type="spellEnd"/>
      <w:r w:rsidRPr="003929FE">
        <w:rPr>
          <w:rFonts w:ascii="Times New Roman" w:hAnsi="Times New Roman"/>
        </w:rPr>
        <w:t>. “Housing Production, Filtering, and Displacement: Untangling the Relationships.”  Institute of Governmental Studies, University of California, Berkeley, May 2016.</w:t>
      </w:r>
    </w:p>
  </w:footnote>
  <w:footnote w:id="13">
    <w:p w14:paraId="0904969B" w14:textId="05335810" w:rsidR="002E5702" w:rsidRPr="003929FE" w:rsidRDefault="002E5702" w:rsidP="003929FE">
      <w:pPr>
        <w:pStyle w:val="FootnoteText"/>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Lens, Michael C. and </w:t>
      </w:r>
      <w:proofErr w:type="spellStart"/>
      <w:r w:rsidRPr="003929FE">
        <w:rPr>
          <w:rFonts w:ascii="Times New Roman" w:hAnsi="Times New Roman"/>
        </w:rPr>
        <w:t>Paavo</w:t>
      </w:r>
      <w:proofErr w:type="spellEnd"/>
      <w:r w:rsidRPr="003929FE">
        <w:rPr>
          <w:rFonts w:ascii="Times New Roman" w:hAnsi="Times New Roman"/>
        </w:rPr>
        <w:t xml:space="preserve"> </w:t>
      </w:r>
      <w:proofErr w:type="spellStart"/>
      <w:r w:rsidRPr="003929FE">
        <w:rPr>
          <w:rFonts w:ascii="Times New Roman" w:hAnsi="Times New Roman"/>
        </w:rPr>
        <w:t>Monkkonen</w:t>
      </w:r>
      <w:proofErr w:type="spellEnd"/>
      <w:r w:rsidRPr="003929FE">
        <w:rPr>
          <w:rFonts w:ascii="Times New Roman" w:hAnsi="Times New Roman"/>
        </w:rPr>
        <w:t>.  “Do Strict Land Use Regulations Make Metropolitan Areas More Segregated by Income?” Journal of the American Planning Association 82(1): 6-21, 2016.</w:t>
      </w:r>
    </w:p>
  </w:footnote>
  <w:footnote w:id="14">
    <w:p w14:paraId="5B862543" w14:textId="52A65D63" w:rsidR="00754FCE" w:rsidRPr="003929FE" w:rsidRDefault="00754FCE" w:rsidP="003929FE">
      <w:pPr>
        <w:pStyle w:val="FootnoteText"/>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Zasloff</w:t>
      </w:r>
      <w:proofErr w:type="spellEnd"/>
      <w:r w:rsidRPr="003929FE">
        <w:rPr>
          <w:rFonts w:ascii="Times New Roman" w:hAnsi="Times New Roman"/>
        </w:rPr>
        <w:t xml:space="preserve">, Jonathan.  “The Price of Equality: Fair Housing, Land Use, and Disparate Impact.”  </w:t>
      </w:r>
      <w:proofErr w:type="gramStart"/>
      <w:r w:rsidRPr="003929FE">
        <w:rPr>
          <w:rFonts w:ascii="Times New Roman" w:hAnsi="Times New Roman"/>
        </w:rPr>
        <w:t>48</w:t>
      </w:r>
      <w:proofErr w:type="gramEnd"/>
      <w:r w:rsidRPr="003929FE">
        <w:rPr>
          <w:rFonts w:ascii="Times New Roman" w:hAnsi="Times New Roman"/>
        </w:rPr>
        <w:t xml:space="preserve"> </w:t>
      </w:r>
      <w:r w:rsidRPr="003929FE">
        <w:rPr>
          <w:rFonts w:ascii="Times New Roman" w:hAnsi="Times New Roman"/>
          <w:i/>
        </w:rPr>
        <w:t>Columbia Human Rights Law Review</w:t>
      </w:r>
      <w:r w:rsidRPr="003929FE">
        <w:rPr>
          <w:rFonts w:ascii="Times New Roman" w:hAnsi="Times New Roman"/>
        </w:rPr>
        <w:t xml:space="preserve"> 98, 2017.</w:t>
      </w:r>
    </w:p>
  </w:footnote>
  <w:footnote w:id="15">
    <w:p w14:paraId="009D4B3F" w14:textId="12EF4954" w:rsidR="00334306" w:rsidRPr="003929FE" w:rsidRDefault="00334306" w:rsidP="003929FE">
      <w:pPr>
        <w:pStyle w:val="FootnoteText"/>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Trounstine, Jessica.  “The Geography of Inequality: How Land Use Regulation Produces Segregation and Polarization.”  University of California, Merced, July 2018.</w:t>
      </w:r>
    </w:p>
  </w:footnote>
  <w:footnote w:id="16">
    <w:p w14:paraId="1A8361A7" w14:textId="43CC4B7A" w:rsidR="00DB491C" w:rsidRDefault="00DB491C" w:rsidP="003929FE">
      <w:pPr>
        <w:pStyle w:val="FootnoteText"/>
      </w:pPr>
      <w:r w:rsidRPr="003929FE">
        <w:rPr>
          <w:rStyle w:val="FootnoteReference"/>
          <w:rFonts w:ascii="Times New Roman" w:hAnsi="Times New Roman"/>
        </w:rPr>
        <w:footnoteRef/>
      </w:r>
      <w:r w:rsidRPr="003929FE">
        <w:rPr>
          <w:rFonts w:ascii="Times New Roman" w:hAnsi="Times New Roman"/>
        </w:rPr>
        <w:t xml:space="preserve"> Hsieh, Chang-Tai and Moretti, Enrico, "Why Do Cities Matter? Local Growth and Aggregate Growth.” </w:t>
      </w:r>
      <w:proofErr w:type="spellStart"/>
      <w:r w:rsidRPr="003929FE">
        <w:rPr>
          <w:rFonts w:ascii="Times New Roman" w:hAnsi="Times New Roman"/>
          <w:i/>
        </w:rPr>
        <w:t>Kreisman</w:t>
      </w:r>
      <w:proofErr w:type="spellEnd"/>
      <w:r w:rsidRPr="003929FE">
        <w:rPr>
          <w:rFonts w:ascii="Times New Roman" w:hAnsi="Times New Roman"/>
          <w:i/>
        </w:rPr>
        <w:t xml:space="preserve"> Working Paper Series in Housing Law and Policy</w:t>
      </w:r>
      <w:r w:rsidRPr="003929FE">
        <w:rPr>
          <w:rFonts w:ascii="Times New Roman" w:hAnsi="Times New Roman"/>
        </w:rPr>
        <w:t>, 2015.</w:t>
      </w:r>
    </w:p>
  </w:footnote>
  <w:footnote w:id="17">
    <w:p w14:paraId="4120D313" w14:textId="5D5C5A5A" w:rsidR="00DB491C" w:rsidRPr="003929FE" w:rsidRDefault="00DB491C" w:rsidP="003929FE">
      <w:pPr>
        <w:pStyle w:val="FootnoteText"/>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Monkkonen</w:t>
      </w:r>
      <w:proofErr w:type="spellEnd"/>
      <w:r w:rsidRPr="003929FE">
        <w:rPr>
          <w:rFonts w:ascii="Times New Roman" w:hAnsi="Times New Roman"/>
        </w:rPr>
        <w:t xml:space="preserve">, </w:t>
      </w:r>
      <w:proofErr w:type="spellStart"/>
      <w:r w:rsidRPr="003929FE">
        <w:rPr>
          <w:rFonts w:ascii="Times New Roman" w:hAnsi="Times New Roman"/>
        </w:rPr>
        <w:t>Paavo</w:t>
      </w:r>
      <w:proofErr w:type="spellEnd"/>
      <w:r w:rsidRPr="003929FE">
        <w:rPr>
          <w:rFonts w:ascii="Times New Roman" w:hAnsi="Times New Roman"/>
        </w:rPr>
        <w:t xml:space="preserve">.  “Understanding and Challenging Opposition to Housing Construction in California’s Urban Areas.”  </w:t>
      </w:r>
      <w:r w:rsidRPr="003929FE">
        <w:rPr>
          <w:rFonts w:ascii="Times New Roman" w:hAnsi="Times New Roman"/>
          <w:i/>
        </w:rPr>
        <w:t>UC Center Sacramento Housing, Land Use and Development Public Lectureship and White Paper Award</w:t>
      </w:r>
      <w:r w:rsidRPr="003929FE">
        <w:rPr>
          <w:rFonts w:ascii="Times New Roman" w:hAnsi="Times New Roman"/>
        </w:rPr>
        <w:t>, December 2016.</w:t>
      </w:r>
    </w:p>
  </w:footnote>
  <w:footnote w:id="18">
    <w:p w14:paraId="313D83C2" w14:textId="7D911E85" w:rsidR="00DB491C" w:rsidRPr="003929FE" w:rsidRDefault="00DB491C" w:rsidP="003929FE">
      <w:pPr>
        <w:pStyle w:val="FootnoteText"/>
        <w:rPr>
          <w:rFonts w:ascii="Times New Roman" w:hAnsi="Times New Roman"/>
        </w:rPr>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Chapple</w:t>
      </w:r>
      <w:proofErr w:type="spellEnd"/>
      <w:r w:rsidRPr="003929FE">
        <w:rPr>
          <w:rFonts w:ascii="Times New Roman" w:hAnsi="Times New Roman"/>
        </w:rPr>
        <w:t>, Karen. “Integrating California’s Climate Change and Fiscal Goals: The Known, the Unknown, and the Possible.”</w:t>
      </w:r>
      <w:r w:rsidRPr="003929FE">
        <w:rPr>
          <w:rFonts w:ascii="Times New Roman" w:hAnsi="Times New Roman"/>
          <w:i/>
        </w:rPr>
        <w:t xml:space="preserve"> California Journal of Politics and Policy</w:t>
      </w:r>
      <w:r w:rsidRPr="003929FE">
        <w:rPr>
          <w:rFonts w:ascii="Times New Roman" w:hAnsi="Times New Roman"/>
        </w:rPr>
        <w:t>, 8(2), 2016.</w:t>
      </w:r>
    </w:p>
  </w:footnote>
  <w:footnote w:id="19">
    <w:p w14:paraId="14757BD9" w14:textId="0F8B2826" w:rsidR="00F1508C" w:rsidRDefault="00F1508C" w:rsidP="003929FE">
      <w:pPr>
        <w:pStyle w:val="FootnoteText"/>
        <w:spacing w:line="240" w:lineRule="auto"/>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Zuk</w:t>
      </w:r>
      <w:proofErr w:type="spellEnd"/>
      <w:r w:rsidRPr="003929FE">
        <w:rPr>
          <w:rFonts w:ascii="Times New Roman" w:hAnsi="Times New Roman"/>
        </w:rPr>
        <w:t xml:space="preserve">, Miriam and Karen </w:t>
      </w:r>
      <w:proofErr w:type="spellStart"/>
      <w:r w:rsidRPr="003929FE">
        <w:rPr>
          <w:rFonts w:ascii="Times New Roman" w:hAnsi="Times New Roman"/>
        </w:rPr>
        <w:t>Chapple</w:t>
      </w:r>
      <w:proofErr w:type="spellEnd"/>
      <w:r w:rsidRPr="003929FE">
        <w:rPr>
          <w:rFonts w:ascii="Times New Roman" w:hAnsi="Times New Roman"/>
        </w:rPr>
        <w:t>. “Housing Production, Filtering, and Displacement: Untangling the Relationships.”  Institute of Governmental Studies, University of California, Berkeley, May 2016.</w:t>
      </w:r>
    </w:p>
  </w:footnote>
  <w:footnote w:id="20">
    <w:p w14:paraId="570325AA" w14:textId="558577EC" w:rsidR="00F1508C" w:rsidRDefault="00F1508C" w:rsidP="003929FE">
      <w:pPr>
        <w:pStyle w:val="FootnoteText"/>
        <w:spacing w:line="240" w:lineRule="auto"/>
      </w:pPr>
      <w:r w:rsidRPr="003929FE">
        <w:rPr>
          <w:rStyle w:val="FootnoteReference"/>
          <w:rFonts w:ascii="Times New Roman" w:hAnsi="Times New Roman"/>
        </w:rPr>
        <w:footnoteRef/>
      </w:r>
      <w:r w:rsidRPr="003929FE">
        <w:rPr>
          <w:rFonts w:ascii="Times New Roman" w:hAnsi="Times New Roman"/>
        </w:rPr>
        <w:t xml:space="preserve"> </w:t>
      </w:r>
      <w:proofErr w:type="spellStart"/>
      <w:r w:rsidRPr="003929FE">
        <w:rPr>
          <w:rFonts w:ascii="Times New Roman" w:hAnsi="Times New Roman"/>
        </w:rPr>
        <w:t>Dresch</w:t>
      </w:r>
      <w:proofErr w:type="spellEnd"/>
      <w:r w:rsidRPr="003929FE">
        <w:rPr>
          <w:rFonts w:ascii="Times New Roman" w:hAnsi="Times New Roman"/>
        </w:rPr>
        <w:t xml:space="preserve">, Marla and Steven </w:t>
      </w:r>
      <w:proofErr w:type="spellStart"/>
      <w:r w:rsidRPr="003929FE">
        <w:rPr>
          <w:rFonts w:ascii="Times New Roman" w:hAnsi="Times New Roman"/>
        </w:rPr>
        <w:t>Sheffrin</w:t>
      </w:r>
      <w:proofErr w:type="spellEnd"/>
      <w:r w:rsidRPr="003929FE">
        <w:rPr>
          <w:rFonts w:ascii="Times New Roman" w:hAnsi="Times New Roman"/>
        </w:rPr>
        <w:t>.  “Who pays for development fees and exactions?” Public Policy Institute of California, 1997.</w:t>
      </w:r>
    </w:p>
  </w:footnote>
  <w:footnote w:id="21">
    <w:p w14:paraId="6C10CDDE" w14:textId="55CF9CD5" w:rsidR="00F1508C" w:rsidRDefault="00F1508C" w:rsidP="00A43AF4">
      <w:pPr>
        <w:pStyle w:val="FootnoteText"/>
        <w:spacing w:line="240" w:lineRule="auto"/>
      </w:pPr>
      <w:r>
        <w:rPr>
          <w:rStyle w:val="FootnoteReference"/>
        </w:rPr>
        <w:footnoteRef/>
      </w:r>
      <w:r>
        <w:t xml:space="preserve"> </w:t>
      </w:r>
      <w:proofErr w:type="spellStart"/>
      <w:r>
        <w:t>Anenberg</w:t>
      </w:r>
      <w:proofErr w:type="spellEnd"/>
      <w:r>
        <w:t>, Elliot, and Edward Kung (2018). “Can More Housing Supply Solve the Affordability Crisis? Evidence from a Neighborhood Choice Model," Finance and Economics Discussion Series 2018-035. Washington: Board of Governors of the Federal Reserve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28898" w14:textId="77777777" w:rsidR="003929FE" w:rsidRDefault="00392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C2B"/>
    <w:multiLevelType w:val="hybridMultilevel"/>
    <w:tmpl w:val="6A98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9165D"/>
    <w:multiLevelType w:val="hybridMultilevel"/>
    <w:tmpl w:val="58A8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1160C"/>
    <w:multiLevelType w:val="hybridMultilevel"/>
    <w:tmpl w:val="1030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8305A"/>
    <w:multiLevelType w:val="hybridMultilevel"/>
    <w:tmpl w:val="3822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2ABF"/>
    <w:multiLevelType w:val="hybridMultilevel"/>
    <w:tmpl w:val="24E0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33C6"/>
    <w:multiLevelType w:val="hybridMultilevel"/>
    <w:tmpl w:val="F89ADC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D110EC3"/>
    <w:multiLevelType w:val="hybridMultilevel"/>
    <w:tmpl w:val="EB4C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E3638"/>
    <w:multiLevelType w:val="hybridMultilevel"/>
    <w:tmpl w:val="5B5E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05CA0"/>
    <w:multiLevelType w:val="hybridMultilevel"/>
    <w:tmpl w:val="5F28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4BF9"/>
    <w:multiLevelType w:val="hybridMultilevel"/>
    <w:tmpl w:val="C348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C235F"/>
    <w:multiLevelType w:val="hybridMultilevel"/>
    <w:tmpl w:val="7922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A0058"/>
    <w:multiLevelType w:val="hybridMultilevel"/>
    <w:tmpl w:val="A6BC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F4BAF"/>
    <w:multiLevelType w:val="hybridMultilevel"/>
    <w:tmpl w:val="87AA26C2"/>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3" w15:restartNumberingAfterBreak="0">
    <w:nsid w:val="4AF6130B"/>
    <w:multiLevelType w:val="hybridMultilevel"/>
    <w:tmpl w:val="7BD0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F3940"/>
    <w:multiLevelType w:val="hybridMultilevel"/>
    <w:tmpl w:val="FBD0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235BE"/>
    <w:multiLevelType w:val="hybridMultilevel"/>
    <w:tmpl w:val="0DAC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C3D37"/>
    <w:multiLevelType w:val="hybridMultilevel"/>
    <w:tmpl w:val="A3A688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521D45"/>
    <w:multiLevelType w:val="hybridMultilevel"/>
    <w:tmpl w:val="2A64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3766F"/>
    <w:multiLevelType w:val="hybridMultilevel"/>
    <w:tmpl w:val="7DC43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973EE"/>
    <w:multiLevelType w:val="hybridMultilevel"/>
    <w:tmpl w:val="72F2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86797"/>
    <w:multiLevelType w:val="hybridMultilevel"/>
    <w:tmpl w:val="CC1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25F67"/>
    <w:multiLevelType w:val="hybridMultilevel"/>
    <w:tmpl w:val="7DBC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6"/>
  </w:num>
  <w:num w:numId="4">
    <w:abstractNumId w:val="11"/>
  </w:num>
  <w:num w:numId="5">
    <w:abstractNumId w:val="5"/>
  </w:num>
  <w:num w:numId="6">
    <w:abstractNumId w:val="3"/>
  </w:num>
  <w:num w:numId="7">
    <w:abstractNumId w:val="19"/>
  </w:num>
  <w:num w:numId="8">
    <w:abstractNumId w:val="21"/>
  </w:num>
  <w:num w:numId="9">
    <w:abstractNumId w:val="9"/>
  </w:num>
  <w:num w:numId="10">
    <w:abstractNumId w:val="7"/>
  </w:num>
  <w:num w:numId="11">
    <w:abstractNumId w:val="4"/>
  </w:num>
  <w:num w:numId="12">
    <w:abstractNumId w:val="16"/>
  </w:num>
  <w:num w:numId="13">
    <w:abstractNumId w:val="18"/>
  </w:num>
  <w:num w:numId="14">
    <w:abstractNumId w:val="17"/>
  </w:num>
  <w:num w:numId="15">
    <w:abstractNumId w:val="20"/>
  </w:num>
  <w:num w:numId="16">
    <w:abstractNumId w:val="0"/>
  </w:num>
  <w:num w:numId="17">
    <w:abstractNumId w:val="13"/>
  </w:num>
  <w:num w:numId="18">
    <w:abstractNumId w:val="12"/>
  </w:num>
  <w:num w:numId="19">
    <w:abstractNumId w:val="10"/>
  </w:num>
  <w:num w:numId="20">
    <w:abstractNumId w:val="8"/>
  </w:num>
  <w:num w:numId="21">
    <w:abstractNumId w:val="15"/>
  </w:num>
  <w:num w:numId="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F5"/>
    <w:rsid w:val="00015629"/>
    <w:rsid w:val="00016922"/>
    <w:rsid w:val="00021F53"/>
    <w:rsid w:val="0002556A"/>
    <w:rsid w:val="00025D7D"/>
    <w:rsid w:val="00026D73"/>
    <w:rsid w:val="00030A59"/>
    <w:rsid w:val="00033D19"/>
    <w:rsid w:val="000351DF"/>
    <w:rsid w:val="0004087F"/>
    <w:rsid w:val="000430FE"/>
    <w:rsid w:val="0004577E"/>
    <w:rsid w:val="000522DB"/>
    <w:rsid w:val="00053456"/>
    <w:rsid w:val="00053D42"/>
    <w:rsid w:val="0005741B"/>
    <w:rsid w:val="00064755"/>
    <w:rsid w:val="00070265"/>
    <w:rsid w:val="00070E6D"/>
    <w:rsid w:val="000736CC"/>
    <w:rsid w:val="00077FCC"/>
    <w:rsid w:val="00090BDC"/>
    <w:rsid w:val="00091685"/>
    <w:rsid w:val="000928BF"/>
    <w:rsid w:val="00095134"/>
    <w:rsid w:val="00095B5A"/>
    <w:rsid w:val="000A223D"/>
    <w:rsid w:val="000B00D1"/>
    <w:rsid w:val="000B3CD8"/>
    <w:rsid w:val="000B4667"/>
    <w:rsid w:val="000B75A5"/>
    <w:rsid w:val="000C4230"/>
    <w:rsid w:val="000C7A0B"/>
    <w:rsid w:val="000C7A62"/>
    <w:rsid w:val="000D7F7C"/>
    <w:rsid w:val="000E52F6"/>
    <w:rsid w:val="0010444A"/>
    <w:rsid w:val="00110DA5"/>
    <w:rsid w:val="00113480"/>
    <w:rsid w:val="001179ED"/>
    <w:rsid w:val="00120214"/>
    <w:rsid w:val="00120B0D"/>
    <w:rsid w:val="00121B10"/>
    <w:rsid w:val="00125C98"/>
    <w:rsid w:val="001303DD"/>
    <w:rsid w:val="00140515"/>
    <w:rsid w:val="00140E6A"/>
    <w:rsid w:val="00141F58"/>
    <w:rsid w:val="001427C6"/>
    <w:rsid w:val="0014748D"/>
    <w:rsid w:val="00152D6A"/>
    <w:rsid w:val="00164A7F"/>
    <w:rsid w:val="00173129"/>
    <w:rsid w:val="00181029"/>
    <w:rsid w:val="001850E8"/>
    <w:rsid w:val="00187EA7"/>
    <w:rsid w:val="00193E46"/>
    <w:rsid w:val="001A5B28"/>
    <w:rsid w:val="001A7225"/>
    <w:rsid w:val="001B251F"/>
    <w:rsid w:val="001C6108"/>
    <w:rsid w:val="001C64DB"/>
    <w:rsid w:val="001D3B05"/>
    <w:rsid w:val="001D4134"/>
    <w:rsid w:val="001D767B"/>
    <w:rsid w:val="001D7977"/>
    <w:rsid w:val="001E3808"/>
    <w:rsid w:val="001F21AD"/>
    <w:rsid w:val="001F2624"/>
    <w:rsid w:val="00202071"/>
    <w:rsid w:val="00202518"/>
    <w:rsid w:val="00211553"/>
    <w:rsid w:val="00213EFD"/>
    <w:rsid w:val="00222E2F"/>
    <w:rsid w:val="00231583"/>
    <w:rsid w:val="00240F4F"/>
    <w:rsid w:val="00256269"/>
    <w:rsid w:val="002626BC"/>
    <w:rsid w:val="002659D9"/>
    <w:rsid w:val="00274EEE"/>
    <w:rsid w:val="0028278E"/>
    <w:rsid w:val="0029159F"/>
    <w:rsid w:val="00292BED"/>
    <w:rsid w:val="00296701"/>
    <w:rsid w:val="002A1220"/>
    <w:rsid w:val="002A56D2"/>
    <w:rsid w:val="002A69F5"/>
    <w:rsid w:val="002B16F9"/>
    <w:rsid w:val="002B4795"/>
    <w:rsid w:val="002B523E"/>
    <w:rsid w:val="002B5A37"/>
    <w:rsid w:val="002C0895"/>
    <w:rsid w:val="002C1EF0"/>
    <w:rsid w:val="002C26E7"/>
    <w:rsid w:val="002C4816"/>
    <w:rsid w:val="002C79D7"/>
    <w:rsid w:val="002D3736"/>
    <w:rsid w:val="002D5DD2"/>
    <w:rsid w:val="002E5702"/>
    <w:rsid w:val="002F1FEE"/>
    <w:rsid w:val="00307A63"/>
    <w:rsid w:val="003114A8"/>
    <w:rsid w:val="00317EF4"/>
    <w:rsid w:val="00320035"/>
    <w:rsid w:val="00321B39"/>
    <w:rsid w:val="0032210C"/>
    <w:rsid w:val="00326E38"/>
    <w:rsid w:val="00327059"/>
    <w:rsid w:val="00332067"/>
    <w:rsid w:val="00334306"/>
    <w:rsid w:val="00334830"/>
    <w:rsid w:val="00335AE3"/>
    <w:rsid w:val="0034198C"/>
    <w:rsid w:val="00342474"/>
    <w:rsid w:val="00343C3B"/>
    <w:rsid w:val="00344332"/>
    <w:rsid w:val="00344A41"/>
    <w:rsid w:val="003467B5"/>
    <w:rsid w:val="0034745F"/>
    <w:rsid w:val="00347E32"/>
    <w:rsid w:val="003510D4"/>
    <w:rsid w:val="003715C2"/>
    <w:rsid w:val="00375F18"/>
    <w:rsid w:val="00376E19"/>
    <w:rsid w:val="003843AF"/>
    <w:rsid w:val="003866F7"/>
    <w:rsid w:val="00386CD9"/>
    <w:rsid w:val="00387636"/>
    <w:rsid w:val="003877DB"/>
    <w:rsid w:val="00390591"/>
    <w:rsid w:val="003929FE"/>
    <w:rsid w:val="003962A3"/>
    <w:rsid w:val="00397308"/>
    <w:rsid w:val="003A21D0"/>
    <w:rsid w:val="003A4188"/>
    <w:rsid w:val="003A7D4A"/>
    <w:rsid w:val="003B4780"/>
    <w:rsid w:val="003C2066"/>
    <w:rsid w:val="003C25C2"/>
    <w:rsid w:val="003C5F46"/>
    <w:rsid w:val="003D0767"/>
    <w:rsid w:val="003E162E"/>
    <w:rsid w:val="003E1BF3"/>
    <w:rsid w:val="003E7F04"/>
    <w:rsid w:val="003F0108"/>
    <w:rsid w:val="003F78E3"/>
    <w:rsid w:val="004008C8"/>
    <w:rsid w:val="00403237"/>
    <w:rsid w:val="00407057"/>
    <w:rsid w:val="004101B9"/>
    <w:rsid w:val="00411464"/>
    <w:rsid w:val="004129A3"/>
    <w:rsid w:val="0041625B"/>
    <w:rsid w:val="0042007F"/>
    <w:rsid w:val="00420F58"/>
    <w:rsid w:val="0042224C"/>
    <w:rsid w:val="00423553"/>
    <w:rsid w:val="0042710D"/>
    <w:rsid w:val="004373B7"/>
    <w:rsid w:val="00442A56"/>
    <w:rsid w:val="00442CA1"/>
    <w:rsid w:val="00444338"/>
    <w:rsid w:val="00460DB7"/>
    <w:rsid w:val="00463EBD"/>
    <w:rsid w:val="004656BF"/>
    <w:rsid w:val="00471B64"/>
    <w:rsid w:val="00473F1D"/>
    <w:rsid w:val="00481302"/>
    <w:rsid w:val="00492726"/>
    <w:rsid w:val="00494817"/>
    <w:rsid w:val="004952E4"/>
    <w:rsid w:val="00495435"/>
    <w:rsid w:val="00496295"/>
    <w:rsid w:val="0049698F"/>
    <w:rsid w:val="004A2A7C"/>
    <w:rsid w:val="004B6270"/>
    <w:rsid w:val="004C63E0"/>
    <w:rsid w:val="004C6CC3"/>
    <w:rsid w:val="004D3E49"/>
    <w:rsid w:val="004D3F99"/>
    <w:rsid w:val="004D755F"/>
    <w:rsid w:val="004E11A4"/>
    <w:rsid w:val="004E25E1"/>
    <w:rsid w:val="004F07D1"/>
    <w:rsid w:val="004F1DF8"/>
    <w:rsid w:val="004F3FC2"/>
    <w:rsid w:val="004F455F"/>
    <w:rsid w:val="004F598B"/>
    <w:rsid w:val="004F6312"/>
    <w:rsid w:val="004F6935"/>
    <w:rsid w:val="004F754D"/>
    <w:rsid w:val="004F7CD2"/>
    <w:rsid w:val="00503B80"/>
    <w:rsid w:val="005044FE"/>
    <w:rsid w:val="005061DD"/>
    <w:rsid w:val="0050621C"/>
    <w:rsid w:val="0050701F"/>
    <w:rsid w:val="0050773C"/>
    <w:rsid w:val="0051189E"/>
    <w:rsid w:val="0051217B"/>
    <w:rsid w:val="00514B7E"/>
    <w:rsid w:val="005159D3"/>
    <w:rsid w:val="00521045"/>
    <w:rsid w:val="00523868"/>
    <w:rsid w:val="00531251"/>
    <w:rsid w:val="00535194"/>
    <w:rsid w:val="00541868"/>
    <w:rsid w:val="005420B5"/>
    <w:rsid w:val="0054274D"/>
    <w:rsid w:val="0054356B"/>
    <w:rsid w:val="00546D3F"/>
    <w:rsid w:val="00553A22"/>
    <w:rsid w:val="0055499E"/>
    <w:rsid w:val="00557FD7"/>
    <w:rsid w:val="0056218F"/>
    <w:rsid w:val="00565019"/>
    <w:rsid w:val="00570165"/>
    <w:rsid w:val="00570C0E"/>
    <w:rsid w:val="00572DC1"/>
    <w:rsid w:val="005770EB"/>
    <w:rsid w:val="00594C5E"/>
    <w:rsid w:val="0059660D"/>
    <w:rsid w:val="00597F01"/>
    <w:rsid w:val="005A39BF"/>
    <w:rsid w:val="005A5CAB"/>
    <w:rsid w:val="005B4852"/>
    <w:rsid w:val="005B6A29"/>
    <w:rsid w:val="005C1179"/>
    <w:rsid w:val="005D0872"/>
    <w:rsid w:val="005D13A8"/>
    <w:rsid w:val="005D4C7E"/>
    <w:rsid w:val="005E1EB6"/>
    <w:rsid w:val="005E3A5E"/>
    <w:rsid w:val="005E53BE"/>
    <w:rsid w:val="005E797C"/>
    <w:rsid w:val="005F4C82"/>
    <w:rsid w:val="006108A6"/>
    <w:rsid w:val="006169BB"/>
    <w:rsid w:val="00616C2B"/>
    <w:rsid w:val="00621E3C"/>
    <w:rsid w:val="00621FA6"/>
    <w:rsid w:val="0063116C"/>
    <w:rsid w:val="00631EB2"/>
    <w:rsid w:val="00641574"/>
    <w:rsid w:val="006508E3"/>
    <w:rsid w:val="00653259"/>
    <w:rsid w:val="00661B72"/>
    <w:rsid w:val="00670445"/>
    <w:rsid w:val="00670FE2"/>
    <w:rsid w:val="0067224F"/>
    <w:rsid w:val="006755F2"/>
    <w:rsid w:val="00682E20"/>
    <w:rsid w:val="00683229"/>
    <w:rsid w:val="006875AE"/>
    <w:rsid w:val="00691EC4"/>
    <w:rsid w:val="006A14E6"/>
    <w:rsid w:val="006A5323"/>
    <w:rsid w:val="006A612B"/>
    <w:rsid w:val="006A6CF2"/>
    <w:rsid w:val="006A6FBC"/>
    <w:rsid w:val="006B0B8C"/>
    <w:rsid w:val="006B1100"/>
    <w:rsid w:val="006B2F19"/>
    <w:rsid w:val="006B4094"/>
    <w:rsid w:val="006B5B94"/>
    <w:rsid w:val="006B6D8A"/>
    <w:rsid w:val="006C1E26"/>
    <w:rsid w:val="006C20D8"/>
    <w:rsid w:val="006C49E7"/>
    <w:rsid w:val="006D060C"/>
    <w:rsid w:val="006D2BA6"/>
    <w:rsid w:val="006E256E"/>
    <w:rsid w:val="006E4D67"/>
    <w:rsid w:val="006E664E"/>
    <w:rsid w:val="006F4170"/>
    <w:rsid w:val="006F447F"/>
    <w:rsid w:val="006F6EBB"/>
    <w:rsid w:val="007002F5"/>
    <w:rsid w:val="00701524"/>
    <w:rsid w:val="00702237"/>
    <w:rsid w:val="00711FE3"/>
    <w:rsid w:val="00740C9F"/>
    <w:rsid w:val="00741629"/>
    <w:rsid w:val="0074446B"/>
    <w:rsid w:val="00754FCE"/>
    <w:rsid w:val="00757FE4"/>
    <w:rsid w:val="00763A5F"/>
    <w:rsid w:val="0076524F"/>
    <w:rsid w:val="0076719E"/>
    <w:rsid w:val="00781E1F"/>
    <w:rsid w:val="00787A59"/>
    <w:rsid w:val="00791411"/>
    <w:rsid w:val="007965AA"/>
    <w:rsid w:val="00797CC4"/>
    <w:rsid w:val="007A0E40"/>
    <w:rsid w:val="007A26D7"/>
    <w:rsid w:val="007A4752"/>
    <w:rsid w:val="007B4996"/>
    <w:rsid w:val="007B6311"/>
    <w:rsid w:val="007C2E9C"/>
    <w:rsid w:val="007E141C"/>
    <w:rsid w:val="007E241C"/>
    <w:rsid w:val="007E4638"/>
    <w:rsid w:val="007E497B"/>
    <w:rsid w:val="0080025B"/>
    <w:rsid w:val="008012D1"/>
    <w:rsid w:val="00801EEB"/>
    <w:rsid w:val="00807A42"/>
    <w:rsid w:val="00807E22"/>
    <w:rsid w:val="00815126"/>
    <w:rsid w:val="00817DB4"/>
    <w:rsid w:val="008207FB"/>
    <w:rsid w:val="008232B5"/>
    <w:rsid w:val="008244B7"/>
    <w:rsid w:val="00832864"/>
    <w:rsid w:val="008357C6"/>
    <w:rsid w:val="00837E6A"/>
    <w:rsid w:val="008406E8"/>
    <w:rsid w:val="008429B0"/>
    <w:rsid w:val="00844AA5"/>
    <w:rsid w:val="00852532"/>
    <w:rsid w:val="0085488E"/>
    <w:rsid w:val="00864BD2"/>
    <w:rsid w:val="008652E7"/>
    <w:rsid w:val="0086790D"/>
    <w:rsid w:val="008701C3"/>
    <w:rsid w:val="008762D1"/>
    <w:rsid w:val="00877215"/>
    <w:rsid w:val="00877C85"/>
    <w:rsid w:val="00882CD8"/>
    <w:rsid w:val="00883855"/>
    <w:rsid w:val="0088438D"/>
    <w:rsid w:val="00890620"/>
    <w:rsid w:val="008912D1"/>
    <w:rsid w:val="00893075"/>
    <w:rsid w:val="008939D3"/>
    <w:rsid w:val="00894238"/>
    <w:rsid w:val="0089484B"/>
    <w:rsid w:val="0089629A"/>
    <w:rsid w:val="008A2426"/>
    <w:rsid w:val="008A5A00"/>
    <w:rsid w:val="008B3E61"/>
    <w:rsid w:val="008B57D2"/>
    <w:rsid w:val="008C2135"/>
    <w:rsid w:val="008C47B0"/>
    <w:rsid w:val="008E6B87"/>
    <w:rsid w:val="008F3D0A"/>
    <w:rsid w:val="008F47DA"/>
    <w:rsid w:val="008F5F66"/>
    <w:rsid w:val="008F602C"/>
    <w:rsid w:val="008F7527"/>
    <w:rsid w:val="00903526"/>
    <w:rsid w:val="00904321"/>
    <w:rsid w:val="00907BDA"/>
    <w:rsid w:val="009146FB"/>
    <w:rsid w:val="00927E43"/>
    <w:rsid w:val="00927E75"/>
    <w:rsid w:val="00927EC8"/>
    <w:rsid w:val="00931453"/>
    <w:rsid w:val="009318A0"/>
    <w:rsid w:val="009327F4"/>
    <w:rsid w:val="009435BB"/>
    <w:rsid w:val="00943E84"/>
    <w:rsid w:val="00943EC5"/>
    <w:rsid w:val="00947AF6"/>
    <w:rsid w:val="009566B7"/>
    <w:rsid w:val="00961FEA"/>
    <w:rsid w:val="0096255A"/>
    <w:rsid w:val="00967533"/>
    <w:rsid w:val="00970D13"/>
    <w:rsid w:val="00970DE6"/>
    <w:rsid w:val="0097557F"/>
    <w:rsid w:val="00983F28"/>
    <w:rsid w:val="009A08D6"/>
    <w:rsid w:val="009A5291"/>
    <w:rsid w:val="009B5347"/>
    <w:rsid w:val="009B5838"/>
    <w:rsid w:val="009C4B7A"/>
    <w:rsid w:val="009D33F9"/>
    <w:rsid w:val="009D4D22"/>
    <w:rsid w:val="009D6020"/>
    <w:rsid w:val="009E0940"/>
    <w:rsid w:val="009E43DC"/>
    <w:rsid w:val="009E7269"/>
    <w:rsid w:val="009E73A1"/>
    <w:rsid w:val="009F13C8"/>
    <w:rsid w:val="009F4F44"/>
    <w:rsid w:val="009F6350"/>
    <w:rsid w:val="00A0142A"/>
    <w:rsid w:val="00A03BE7"/>
    <w:rsid w:val="00A12BA7"/>
    <w:rsid w:val="00A221A6"/>
    <w:rsid w:val="00A23149"/>
    <w:rsid w:val="00A23A2B"/>
    <w:rsid w:val="00A266B0"/>
    <w:rsid w:val="00A26B61"/>
    <w:rsid w:val="00A30361"/>
    <w:rsid w:val="00A312DA"/>
    <w:rsid w:val="00A32EA0"/>
    <w:rsid w:val="00A33005"/>
    <w:rsid w:val="00A33C22"/>
    <w:rsid w:val="00A356DD"/>
    <w:rsid w:val="00A43AF4"/>
    <w:rsid w:val="00A47AC0"/>
    <w:rsid w:val="00A51E8E"/>
    <w:rsid w:val="00A5454B"/>
    <w:rsid w:val="00A565F9"/>
    <w:rsid w:val="00A60697"/>
    <w:rsid w:val="00A64811"/>
    <w:rsid w:val="00A655D0"/>
    <w:rsid w:val="00A660C7"/>
    <w:rsid w:val="00A7434B"/>
    <w:rsid w:val="00A7531C"/>
    <w:rsid w:val="00A77704"/>
    <w:rsid w:val="00A81A6E"/>
    <w:rsid w:val="00A83477"/>
    <w:rsid w:val="00A90647"/>
    <w:rsid w:val="00A94FE3"/>
    <w:rsid w:val="00A9710D"/>
    <w:rsid w:val="00AA2512"/>
    <w:rsid w:val="00AA4CF1"/>
    <w:rsid w:val="00AA5862"/>
    <w:rsid w:val="00AA5A3E"/>
    <w:rsid w:val="00AB211D"/>
    <w:rsid w:val="00AC3C45"/>
    <w:rsid w:val="00AC745A"/>
    <w:rsid w:val="00AE3A14"/>
    <w:rsid w:val="00AE7444"/>
    <w:rsid w:val="00AF33E7"/>
    <w:rsid w:val="00AF3E48"/>
    <w:rsid w:val="00AF4002"/>
    <w:rsid w:val="00AF59A6"/>
    <w:rsid w:val="00AF6E37"/>
    <w:rsid w:val="00B0003D"/>
    <w:rsid w:val="00B00BE4"/>
    <w:rsid w:val="00B03DDE"/>
    <w:rsid w:val="00B11A93"/>
    <w:rsid w:val="00B11B87"/>
    <w:rsid w:val="00B17FAA"/>
    <w:rsid w:val="00B21B45"/>
    <w:rsid w:val="00B2381F"/>
    <w:rsid w:val="00B34CF2"/>
    <w:rsid w:val="00B35F5B"/>
    <w:rsid w:val="00B42CC2"/>
    <w:rsid w:val="00B45DBA"/>
    <w:rsid w:val="00B507FB"/>
    <w:rsid w:val="00B51007"/>
    <w:rsid w:val="00B51CD3"/>
    <w:rsid w:val="00B522BF"/>
    <w:rsid w:val="00B53734"/>
    <w:rsid w:val="00B538B5"/>
    <w:rsid w:val="00B56F94"/>
    <w:rsid w:val="00B603D6"/>
    <w:rsid w:val="00B6633A"/>
    <w:rsid w:val="00B67A90"/>
    <w:rsid w:val="00B727DB"/>
    <w:rsid w:val="00B72E2A"/>
    <w:rsid w:val="00B7374C"/>
    <w:rsid w:val="00B81F25"/>
    <w:rsid w:val="00B826AC"/>
    <w:rsid w:val="00B82ECD"/>
    <w:rsid w:val="00B86E73"/>
    <w:rsid w:val="00B92C8F"/>
    <w:rsid w:val="00BA0864"/>
    <w:rsid w:val="00BA144A"/>
    <w:rsid w:val="00BB3E2F"/>
    <w:rsid w:val="00BC3471"/>
    <w:rsid w:val="00BD57BC"/>
    <w:rsid w:val="00BE61DA"/>
    <w:rsid w:val="00C00C05"/>
    <w:rsid w:val="00C01CBB"/>
    <w:rsid w:val="00C1065B"/>
    <w:rsid w:val="00C10C8A"/>
    <w:rsid w:val="00C12BDF"/>
    <w:rsid w:val="00C2249A"/>
    <w:rsid w:val="00C23B73"/>
    <w:rsid w:val="00C24805"/>
    <w:rsid w:val="00C341C3"/>
    <w:rsid w:val="00C34D30"/>
    <w:rsid w:val="00C470FA"/>
    <w:rsid w:val="00C52234"/>
    <w:rsid w:val="00C53879"/>
    <w:rsid w:val="00C57352"/>
    <w:rsid w:val="00C57E06"/>
    <w:rsid w:val="00C60CC1"/>
    <w:rsid w:val="00C60F22"/>
    <w:rsid w:val="00C625F0"/>
    <w:rsid w:val="00C71B78"/>
    <w:rsid w:val="00C720A4"/>
    <w:rsid w:val="00C751DC"/>
    <w:rsid w:val="00C831E7"/>
    <w:rsid w:val="00C86265"/>
    <w:rsid w:val="00C862B7"/>
    <w:rsid w:val="00CA43E2"/>
    <w:rsid w:val="00CA4510"/>
    <w:rsid w:val="00CB5F7F"/>
    <w:rsid w:val="00CC3657"/>
    <w:rsid w:val="00CD11E8"/>
    <w:rsid w:val="00CD2EB6"/>
    <w:rsid w:val="00CD3471"/>
    <w:rsid w:val="00CD610C"/>
    <w:rsid w:val="00CE43DE"/>
    <w:rsid w:val="00CF4FA4"/>
    <w:rsid w:val="00CF7A5D"/>
    <w:rsid w:val="00D04149"/>
    <w:rsid w:val="00D04594"/>
    <w:rsid w:val="00D05203"/>
    <w:rsid w:val="00D05410"/>
    <w:rsid w:val="00D05EBE"/>
    <w:rsid w:val="00D0674F"/>
    <w:rsid w:val="00D13B39"/>
    <w:rsid w:val="00D30028"/>
    <w:rsid w:val="00D346DF"/>
    <w:rsid w:val="00D37468"/>
    <w:rsid w:val="00D3767D"/>
    <w:rsid w:val="00D412C2"/>
    <w:rsid w:val="00D61FB5"/>
    <w:rsid w:val="00D628AE"/>
    <w:rsid w:val="00D64911"/>
    <w:rsid w:val="00D65807"/>
    <w:rsid w:val="00D65A78"/>
    <w:rsid w:val="00D65AAA"/>
    <w:rsid w:val="00D7073D"/>
    <w:rsid w:val="00D70D8C"/>
    <w:rsid w:val="00D718C0"/>
    <w:rsid w:val="00D758F2"/>
    <w:rsid w:val="00D85214"/>
    <w:rsid w:val="00D9002F"/>
    <w:rsid w:val="00D9107F"/>
    <w:rsid w:val="00D95A1B"/>
    <w:rsid w:val="00D9627C"/>
    <w:rsid w:val="00D96DA9"/>
    <w:rsid w:val="00D97F61"/>
    <w:rsid w:val="00DA1CDF"/>
    <w:rsid w:val="00DA5A93"/>
    <w:rsid w:val="00DB0F4E"/>
    <w:rsid w:val="00DB231C"/>
    <w:rsid w:val="00DB491C"/>
    <w:rsid w:val="00DC0EFB"/>
    <w:rsid w:val="00DD12A0"/>
    <w:rsid w:val="00DD3FAF"/>
    <w:rsid w:val="00DD4159"/>
    <w:rsid w:val="00DD5F4E"/>
    <w:rsid w:val="00DD6A11"/>
    <w:rsid w:val="00DE496C"/>
    <w:rsid w:val="00DE5344"/>
    <w:rsid w:val="00DE7AB9"/>
    <w:rsid w:val="00DF502D"/>
    <w:rsid w:val="00DF640A"/>
    <w:rsid w:val="00DF7F38"/>
    <w:rsid w:val="00E068E5"/>
    <w:rsid w:val="00E07670"/>
    <w:rsid w:val="00E121D9"/>
    <w:rsid w:val="00E130A1"/>
    <w:rsid w:val="00E27A07"/>
    <w:rsid w:val="00E32AC3"/>
    <w:rsid w:val="00E3421A"/>
    <w:rsid w:val="00E415CD"/>
    <w:rsid w:val="00E426B4"/>
    <w:rsid w:val="00E5058C"/>
    <w:rsid w:val="00E51473"/>
    <w:rsid w:val="00E64960"/>
    <w:rsid w:val="00E655CA"/>
    <w:rsid w:val="00E716CD"/>
    <w:rsid w:val="00E718DE"/>
    <w:rsid w:val="00E74706"/>
    <w:rsid w:val="00E75A31"/>
    <w:rsid w:val="00E77611"/>
    <w:rsid w:val="00E77E77"/>
    <w:rsid w:val="00E81C74"/>
    <w:rsid w:val="00E81E0D"/>
    <w:rsid w:val="00E82893"/>
    <w:rsid w:val="00E85E40"/>
    <w:rsid w:val="00E86BAB"/>
    <w:rsid w:val="00E8772B"/>
    <w:rsid w:val="00E92C84"/>
    <w:rsid w:val="00E966CC"/>
    <w:rsid w:val="00EA484F"/>
    <w:rsid w:val="00EA5E0D"/>
    <w:rsid w:val="00EC073C"/>
    <w:rsid w:val="00EC5697"/>
    <w:rsid w:val="00ED2398"/>
    <w:rsid w:val="00EE6474"/>
    <w:rsid w:val="00EF51B2"/>
    <w:rsid w:val="00EF5B29"/>
    <w:rsid w:val="00F13FBD"/>
    <w:rsid w:val="00F1508C"/>
    <w:rsid w:val="00F169E5"/>
    <w:rsid w:val="00F21AC6"/>
    <w:rsid w:val="00F261A5"/>
    <w:rsid w:val="00F2649E"/>
    <w:rsid w:val="00F26F6A"/>
    <w:rsid w:val="00F343D8"/>
    <w:rsid w:val="00F402DB"/>
    <w:rsid w:val="00F432D0"/>
    <w:rsid w:val="00F50C95"/>
    <w:rsid w:val="00F54F03"/>
    <w:rsid w:val="00F55571"/>
    <w:rsid w:val="00F5687F"/>
    <w:rsid w:val="00F61D1F"/>
    <w:rsid w:val="00F64C23"/>
    <w:rsid w:val="00F718FA"/>
    <w:rsid w:val="00F90486"/>
    <w:rsid w:val="00F9149A"/>
    <w:rsid w:val="00F91578"/>
    <w:rsid w:val="00F94417"/>
    <w:rsid w:val="00F97442"/>
    <w:rsid w:val="00FA23C9"/>
    <w:rsid w:val="00FB0011"/>
    <w:rsid w:val="00FB0783"/>
    <w:rsid w:val="00FB12B3"/>
    <w:rsid w:val="00FB145C"/>
    <w:rsid w:val="00FB45F6"/>
    <w:rsid w:val="00FC3012"/>
    <w:rsid w:val="00FC47EA"/>
    <w:rsid w:val="00FC7281"/>
    <w:rsid w:val="00FC7C1D"/>
    <w:rsid w:val="00FD0AFF"/>
    <w:rsid w:val="00FE1194"/>
    <w:rsid w:val="00FE31BC"/>
    <w:rsid w:val="00FE34B8"/>
    <w:rsid w:val="00FE514F"/>
    <w:rsid w:val="00FF0B4F"/>
    <w:rsid w:val="00FF2D9A"/>
    <w:rsid w:val="00FF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C5B1A7"/>
  <w15:docId w15:val="{F56FF1D0-BFF4-4111-9AA5-EC65B26C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7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1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11A4"/>
    <w:rPr>
      <w:rFonts w:ascii="Tahoma" w:hAnsi="Tahoma" w:cs="Tahoma"/>
      <w:sz w:val="16"/>
      <w:szCs w:val="16"/>
    </w:rPr>
  </w:style>
  <w:style w:type="paragraph" w:styleId="FootnoteText">
    <w:name w:val="footnote text"/>
    <w:basedOn w:val="Normal"/>
    <w:link w:val="FootnoteTextChar"/>
    <w:uiPriority w:val="99"/>
    <w:semiHidden/>
    <w:unhideWhenUsed/>
    <w:rsid w:val="00A47AC0"/>
    <w:rPr>
      <w:sz w:val="20"/>
      <w:szCs w:val="20"/>
    </w:rPr>
  </w:style>
  <w:style w:type="character" w:customStyle="1" w:styleId="FootnoteTextChar">
    <w:name w:val="Footnote Text Char"/>
    <w:basedOn w:val="DefaultParagraphFont"/>
    <w:link w:val="FootnoteText"/>
    <w:uiPriority w:val="99"/>
    <w:semiHidden/>
    <w:rsid w:val="00A47AC0"/>
  </w:style>
  <w:style w:type="character" w:styleId="FootnoteReference">
    <w:name w:val="footnote reference"/>
    <w:uiPriority w:val="99"/>
    <w:semiHidden/>
    <w:unhideWhenUsed/>
    <w:rsid w:val="00A47AC0"/>
    <w:rPr>
      <w:vertAlign w:val="superscript"/>
    </w:rPr>
  </w:style>
  <w:style w:type="paragraph" w:styleId="NoSpacing">
    <w:name w:val="No Spacing"/>
    <w:uiPriority w:val="1"/>
    <w:qFormat/>
    <w:rsid w:val="002D5DD2"/>
    <w:pPr>
      <w:spacing w:after="200" w:line="276" w:lineRule="auto"/>
    </w:pPr>
    <w:rPr>
      <w:sz w:val="22"/>
      <w:szCs w:val="22"/>
    </w:rPr>
  </w:style>
  <w:style w:type="paragraph" w:styleId="Header">
    <w:name w:val="header"/>
    <w:basedOn w:val="Normal"/>
    <w:link w:val="HeaderChar"/>
    <w:uiPriority w:val="99"/>
    <w:unhideWhenUsed/>
    <w:rsid w:val="002D5DD2"/>
    <w:pPr>
      <w:tabs>
        <w:tab w:val="center" w:pos="4680"/>
        <w:tab w:val="right" w:pos="9360"/>
      </w:tabs>
    </w:pPr>
  </w:style>
  <w:style w:type="character" w:customStyle="1" w:styleId="HeaderChar">
    <w:name w:val="Header Char"/>
    <w:link w:val="Header"/>
    <w:uiPriority w:val="99"/>
    <w:rsid w:val="002D5DD2"/>
    <w:rPr>
      <w:sz w:val="22"/>
      <w:szCs w:val="22"/>
    </w:rPr>
  </w:style>
  <w:style w:type="paragraph" w:styleId="Footer">
    <w:name w:val="footer"/>
    <w:basedOn w:val="Normal"/>
    <w:link w:val="FooterChar"/>
    <w:uiPriority w:val="99"/>
    <w:unhideWhenUsed/>
    <w:rsid w:val="002D5DD2"/>
    <w:pPr>
      <w:tabs>
        <w:tab w:val="center" w:pos="4680"/>
        <w:tab w:val="right" w:pos="9360"/>
      </w:tabs>
    </w:pPr>
  </w:style>
  <w:style w:type="character" w:customStyle="1" w:styleId="FooterChar">
    <w:name w:val="Footer Char"/>
    <w:link w:val="Footer"/>
    <w:uiPriority w:val="99"/>
    <w:rsid w:val="002D5DD2"/>
    <w:rPr>
      <w:sz w:val="22"/>
      <w:szCs w:val="22"/>
    </w:rPr>
  </w:style>
  <w:style w:type="paragraph" w:styleId="ListParagraph">
    <w:name w:val="List Paragraph"/>
    <w:basedOn w:val="Normal"/>
    <w:uiPriority w:val="34"/>
    <w:qFormat/>
    <w:rsid w:val="00FB12B3"/>
    <w:pPr>
      <w:ind w:left="720"/>
      <w:contextualSpacing/>
    </w:pPr>
  </w:style>
  <w:style w:type="character" w:styleId="CommentReference">
    <w:name w:val="annotation reference"/>
    <w:basedOn w:val="DefaultParagraphFont"/>
    <w:uiPriority w:val="99"/>
    <w:semiHidden/>
    <w:unhideWhenUsed/>
    <w:rsid w:val="009E73A1"/>
    <w:rPr>
      <w:sz w:val="16"/>
      <w:szCs w:val="16"/>
    </w:rPr>
  </w:style>
  <w:style w:type="paragraph" w:styleId="CommentText">
    <w:name w:val="annotation text"/>
    <w:basedOn w:val="Normal"/>
    <w:link w:val="CommentTextChar"/>
    <w:uiPriority w:val="99"/>
    <w:semiHidden/>
    <w:unhideWhenUsed/>
    <w:rsid w:val="009E73A1"/>
    <w:pPr>
      <w:spacing w:line="240" w:lineRule="auto"/>
    </w:pPr>
    <w:rPr>
      <w:sz w:val="20"/>
      <w:szCs w:val="20"/>
    </w:rPr>
  </w:style>
  <w:style w:type="character" w:customStyle="1" w:styleId="CommentTextChar">
    <w:name w:val="Comment Text Char"/>
    <w:basedOn w:val="DefaultParagraphFont"/>
    <w:link w:val="CommentText"/>
    <w:uiPriority w:val="99"/>
    <w:semiHidden/>
    <w:rsid w:val="009E73A1"/>
  </w:style>
  <w:style w:type="paragraph" w:styleId="CommentSubject">
    <w:name w:val="annotation subject"/>
    <w:basedOn w:val="CommentText"/>
    <w:next w:val="CommentText"/>
    <w:link w:val="CommentSubjectChar"/>
    <w:uiPriority w:val="99"/>
    <w:semiHidden/>
    <w:unhideWhenUsed/>
    <w:rsid w:val="009E73A1"/>
    <w:rPr>
      <w:b/>
      <w:bCs/>
    </w:rPr>
  </w:style>
  <w:style w:type="character" w:customStyle="1" w:styleId="CommentSubjectChar">
    <w:name w:val="Comment Subject Char"/>
    <w:basedOn w:val="CommentTextChar"/>
    <w:link w:val="CommentSubject"/>
    <w:uiPriority w:val="99"/>
    <w:semiHidden/>
    <w:rsid w:val="009E73A1"/>
    <w:rPr>
      <w:b/>
      <w:bCs/>
    </w:rPr>
  </w:style>
  <w:style w:type="character" w:styleId="Hyperlink">
    <w:name w:val="Hyperlink"/>
    <w:basedOn w:val="DefaultParagraphFont"/>
    <w:uiPriority w:val="99"/>
    <w:unhideWhenUsed/>
    <w:rsid w:val="00D05EBE"/>
    <w:rPr>
      <w:color w:val="0000FF" w:themeColor="hyperlink"/>
      <w:u w:val="single"/>
    </w:rPr>
  </w:style>
  <w:style w:type="paragraph" w:styleId="Revision">
    <w:name w:val="Revision"/>
    <w:hidden/>
    <w:uiPriority w:val="99"/>
    <w:semiHidden/>
    <w:rsid w:val="003929F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50233">
      <w:bodyDiv w:val="1"/>
      <w:marLeft w:val="0"/>
      <w:marRight w:val="0"/>
      <w:marTop w:val="0"/>
      <w:marBottom w:val="0"/>
      <w:divBdr>
        <w:top w:val="none" w:sz="0" w:space="0" w:color="auto"/>
        <w:left w:val="none" w:sz="0" w:space="0" w:color="auto"/>
        <w:bottom w:val="none" w:sz="0" w:space="0" w:color="auto"/>
        <w:right w:val="none" w:sz="0" w:space="0" w:color="auto"/>
      </w:divBdr>
    </w:div>
    <w:div w:id="185481879">
      <w:bodyDiv w:val="1"/>
      <w:marLeft w:val="0"/>
      <w:marRight w:val="0"/>
      <w:marTop w:val="0"/>
      <w:marBottom w:val="0"/>
      <w:divBdr>
        <w:top w:val="none" w:sz="0" w:space="0" w:color="auto"/>
        <w:left w:val="none" w:sz="0" w:space="0" w:color="auto"/>
        <w:bottom w:val="none" w:sz="0" w:space="0" w:color="auto"/>
        <w:right w:val="none" w:sz="0" w:space="0" w:color="auto"/>
      </w:divBdr>
      <w:divsChild>
        <w:div w:id="191501443">
          <w:marLeft w:val="0"/>
          <w:marRight w:val="0"/>
          <w:marTop w:val="0"/>
          <w:marBottom w:val="0"/>
          <w:divBdr>
            <w:top w:val="none" w:sz="0" w:space="0" w:color="auto"/>
            <w:left w:val="none" w:sz="0" w:space="0" w:color="auto"/>
            <w:bottom w:val="none" w:sz="0" w:space="0" w:color="auto"/>
            <w:right w:val="none" w:sz="0" w:space="0" w:color="auto"/>
          </w:divBdr>
        </w:div>
        <w:div w:id="773861611">
          <w:marLeft w:val="0"/>
          <w:marRight w:val="0"/>
          <w:marTop w:val="0"/>
          <w:marBottom w:val="0"/>
          <w:divBdr>
            <w:top w:val="none" w:sz="0" w:space="0" w:color="auto"/>
            <w:left w:val="none" w:sz="0" w:space="0" w:color="auto"/>
            <w:bottom w:val="none" w:sz="0" w:space="0" w:color="auto"/>
            <w:right w:val="none" w:sz="0" w:space="0" w:color="auto"/>
          </w:divBdr>
        </w:div>
        <w:div w:id="865756297">
          <w:marLeft w:val="0"/>
          <w:marRight w:val="0"/>
          <w:marTop w:val="0"/>
          <w:marBottom w:val="0"/>
          <w:divBdr>
            <w:top w:val="none" w:sz="0" w:space="0" w:color="auto"/>
            <w:left w:val="none" w:sz="0" w:space="0" w:color="auto"/>
            <w:bottom w:val="none" w:sz="0" w:space="0" w:color="auto"/>
            <w:right w:val="none" w:sz="0" w:space="0" w:color="auto"/>
          </w:divBdr>
        </w:div>
        <w:div w:id="1031105446">
          <w:marLeft w:val="0"/>
          <w:marRight w:val="0"/>
          <w:marTop w:val="0"/>
          <w:marBottom w:val="0"/>
          <w:divBdr>
            <w:top w:val="none" w:sz="0" w:space="0" w:color="auto"/>
            <w:left w:val="none" w:sz="0" w:space="0" w:color="auto"/>
            <w:bottom w:val="none" w:sz="0" w:space="0" w:color="auto"/>
            <w:right w:val="none" w:sz="0" w:space="0" w:color="auto"/>
          </w:divBdr>
        </w:div>
        <w:div w:id="1210146849">
          <w:marLeft w:val="0"/>
          <w:marRight w:val="0"/>
          <w:marTop w:val="0"/>
          <w:marBottom w:val="0"/>
          <w:divBdr>
            <w:top w:val="none" w:sz="0" w:space="0" w:color="auto"/>
            <w:left w:val="none" w:sz="0" w:space="0" w:color="auto"/>
            <w:bottom w:val="none" w:sz="0" w:space="0" w:color="auto"/>
            <w:right w:val="none" w:sz="0" w:space="0" w:color="auto"/>
          </w:divBdr>
        </w:div>
        <w:div w:id="1320764465">
          <w:marLeft w:val="0"/>
          <w:marRight w:val="0"/>
          <w:marTop w:val="0"/>
          <w:marBottom w:val="0"/>
          <w:divBdr>
            <w:top w:val="none" w:sz="0" w:space="0" w:color="auto"/>
            <w:left w:val="none" w:sz="0" w:space="0" w:color="auto"/>
            <w:bottom w:val="none" w:sz="0" w:space="0" w:color="auto"/>
            <w:right w:val="none" w:sz="0" w:space="0" w:color="auto"/>
          </w:divBdr>
        </w:div>
        <w:div w:id="1683314367">
          <w:marLeft w:val="0"/>
          <w:marRight w:val="0"/>
          <w:marTop w:val="0"/>
          <w:marBottom w:val="0"/>
          <w:divBdr>
            <w:top w:val="none" w:sz="0" w:space="0" w:color="auto"/>
            <w:left w:val="none" w:sz="0" w:space="0" w:color="auto"/>
            <w:bottom w:val="none" w:sz="0" w:space="0" w:color="auto"/>
            <w:right w:val="none" w:sz="0" w:space="0" w:color="auto"/>
          </w:divBdr>
        </w:div>
        <w:div w:id="1826126404">
          <w:marLeft w:val="0"/>
          <w:marRight w:val="0"/>
          <w:marTop w:val="0"/>
          <w:marBottom w:val="0"/>
          <w:divBdr>
            <w:top w:val="none" w:sz="0" w:space="0" w:color="auto"/>
            <w:left w:val="none" w:sz="0" w:space="0" w:color="auto"/>
            <w:bottom w:val="none" w:sz="0" w:space="0" w:color="auto"/>
            <w:right w:val="none" w:sz="0" w:space="0" w:color="auto"/>
          </w:divBdr>
        </w:div>
        <w:div w:id="2013335799">
          <w:marLeft w:val="0"/>
          <w:marRight w:val="0"/>
          <w:marTop w:val="0"/>
          <w:marBottom w:val="0"/>
          <w:divBdr>
            <w:top w:val="none" w:sz="0" w:space="0" w:color="auto"/>
            <w:left w:val="none" w:sz="0" w:space="0" w:color="auto"/>
            <w:bottom w:val="none" w:sz="0" w:space="0" w:color="auto"/>
            <w:right w:val="none" w:sz="0" w:space="0" w:color="auto"/>
          </w:divBdr>
        </w:div>
      </w:divsChild>
    </w:div>
    <w:div w:id="342322864">
      <w:bodyDiv w:val="1"/>
      <w:marLeft w:val="0"/>
      <w:marRight w:val="0"/>
      <w:marTop w:val="0"/>
      <w:marBottom w:val="0"/>
      <w:divBdr>
        <w:top w:val="none" w:sz="0" w:space="0" w:color="auto"/>
        <w:left w:val="none" w:sz="0" w:space="0" w:color="auto"/>
        <w:bottom w:val="none" w:sz="0" w:space="0" w:color="auto"/>
        <w:right w:val="none" w:sz="0" w:space="0" w:color="auto"/>
      </w:divBdr>
    </w:div>
    <w:div w:id="392315285">
      <w:bodyDiv w:val="1"/>
      <w:marLeft w:val="0"/>
      <w:marRight w:val="0"/>
      <w:marTop w:val="0"/>
      <w:marBottom w:val="0"/>
      <w:divBdr>
        <w:top w:val="none" w:sz="0" w:space="0" w:color="auto"/>
        <w:left w:val="none" w:sz="0" w:space="0" w:color="auto"/>
        <w:bottom w:val="none" w:sz="0" w:space="0" w:color="auto"/>
        <w:right w:val="none" w:sz="0" w:space="0" w:color="auto"/>
      </w:divBdr>
    </w:div>
    <w:div w:id="395131682">
      <w:bodyDiv w:val="1"/>
      <w:marLeft w:val="0"/>
      <w:marRight w:val="0"/>
      <w:marTop w:val="0"/>
      <w:marBottom w:val="0"/>
      <w:divBdr>
        <w:top w:val="none" w:sz="0" w:space="0" w:color="auto"/>
        <w:left w:val="none" w:sz="0" w:space="0" w:color="auto"/>
        <w:bottom w:val="none" w:sz="0" w:space="0" w:color="auto"/>
        <w:right w:val="none" w:sz="0" w:space="0" w:color="auto"/>
      </w:divBdr>
      <w:divsChild>
        <w:div w:id="268465206">
          <w:marLeft w:val="0"/>
          <w:marRight w:val="0"/>
          <w:marTop w:val="0"/>
          <w:marBottom w:val="0"/>
          <w:divBdr>
            <w:top w:val="none" w:sz="0" w:space="0" w:color="auto"/>
            <w:left w:val="none" w:sz="0" w:space="0" w:color="auto"/>
            <w:bottom w:val="none" w:sz="0" w:space="0" w:color="auto"/>
            <w:right w:val="none" w:sz="0" w:space="0" w:color="auto"/>
          </w:divBdr>
        </w:div>
        <w:div w:id="466121084">
          <w:marLeft w:val="0"/>
          <w:marRight w:val="0"/>
          <w:marTop w:val="0"/>
          <w:marBottom w:val="0"/>
          <w:divBdr>
            <w:top w:val="none" w:sz="0" w:space="0" w:color="auto"/>
            <w:left w:val="none" w:sz="0" w:space="0" w:color="auto"/>
            <w:bottom w:val="none" w:sz="0" w:space="0" w:color="auto"/>
            <w:right w:val="none" w:sz="0" w:space="0" w:color="auto"/>
          </w:divBdr>
        </w:div>
        <w:div w:id="712072180">
          <w:marLeft w:val="0"/>
          <w:marRight w:val="0"/>
          <w:marTop w:val="0"/>
          <w:marBottom w:val="0"/>
          <w:divBdr>
            <w:top w:val="none" w:sz="0" w:space="0" w:color="auto"/>
            <w:left w:val="none" w:sz="0" w:space="0" w:color="auto"/>
            <w:bottom w:val="none" w:sz="0" w:space="0" w:color="auto"/>
            <w:right w:val="none" w:sz="0" w:space="0" w:color="auto"/>
          </w:divBdr>
        </w:div>
        <w:div w:id="1069157084">
          <w:marLeft w:val="0"/>
          <w:marRight w:val="0"/>
          <w:marTop w:val="0"/>
          <w:marBottom w:val="0"/>
          <w:divBdr>
            <w:top w:val="none" w:sz="0" w:space="0" w:color="auto"/>
            <w:left w:val="none" w:sz="0" w:space="0" w:color="auto"/>
            <w:bottom w:val="none" w:sz="0" w:space="0" w:color="auto"/>
            <w:right w:val="none" w:sz="0" w:space="0" w:color="auto"/>
          </w:divBdr>
        </w:div>
        <w:div w:id="1171216516">
          <w:marLeft w:val="0"/>
          <w:marRight w:val="0"/>
          <w:marTop w:val="0"/>
          <w:marBottom w:val="0"/>
          <w:divBdr>
            <w:top w:val="none" w:sz="0" w:space="0" w:color="auto"/>
            <w:left w:val="none" w:sz="0" w:space="0" w:color="auto"/>
            <w:bottom w:val="none" w:sz="0" w:space="0" w:color="auto"/>
            <w:right w:val="none" w:sz="0" w:space="0" w:color="auto"/>
          </w:divBdr>
        </w:div>
        <w:div w:id="1391611660">
          <w:marLeft w:val="0"/>
          <w:marRight w:val="0"/>
          <w:marTop w:val="0"/>
          <w:marBottom w:val="0"/>
          <w:divBdr>
            <w:top w:val="none" w:sz="0" w:space="0" w:color="auto"/>
            <w:left w:val="none" w:sz="0" w:space="0" w:color="auto"/>
            <w:bottom w:val="none" w:sz="0" w:space="0" w:color="auto"/>
            <w:right w:val="none" w:sz="0" w:space="0" w:color="auto"/>
          </w:divBdr>
        </w:div>
        <w:div w:id="1481339445">
          <w:marLeft w:val="0"/>
          <w:marRight w:val="0"/>
          <w:marTop w:val="0"/>
          <w:marBottom w:val="0"/>
          <w:divBdr>
            <w:top w:val="none" w:sz="0" w:space="0" w:color="auto"/>
            <w:left w:val="none" w:sz="0" w:space="0" w:color="auto"/>
            <w:bottom w:val="none" w:sz="0" w:space="0" w:color="auto"/>
            <w:right w:val="none" w:sz="0" w:space="0" w:color="auto"/>
          </w:divBdr>
        </w:div>
        <w:div w:id="1555847217">
          <w:marLeft w:val="0"/>
          <w:marRight w:val="0"/>
          <w:marTop w:val="0"/>
          <w:marBottom w:val="0"/>
          <w:divBdr>
            <w:top w:val="none" w:sz="0" w:space="0" w:color="auto"/>
            <w:left w:val="none" w:sz="0" w:space="0" w:color="auto"/>
            <w:bottom w:val="none" w:sz="0" w:space="0" w:color="auto"/>
            <w:right w:val="none" w:sz="0" w:space="0" w:color="auto"/>
          </w:divBdr>
        </w:div>
        <w:div w:id="1584299376">
          <w:marLeft w:val="0"/>
          <w:marRight w:val="0"/>
          <w:marTop w:val="0"/>
          <w:marBottom w:val="0"/>
          <w:divBdr>
            <w:top w:val="none" w:sz="0" w:space="0" w:color="auto"/>
            <w:left w:val="none" w:sz="0" w:space="0" w:color="auto"/>
            <w:bottom w:val="none" w:sz="0" w:space="0" w:color="auto"/>
            <w:right w:val="none" w:sz="0" w:space="0" w:color="auto"/>
          </w:divBdr>
        </w:div>
        <w:div w:id="1712457751">
          <w:marLeft w:val="0"/>
          <w:marRight w:val="0"/>
          <w:marTop w:val="0"/>
          <w:marBottom w:val="0"/>
          <w:divBdr>
            <w:top w:val="none" w:sz="0" w:space="0" w:color="auto"/>
            <w:left w:val="none" w:sz="0" w:space="0" w:color="auto"/>
            <w:bottom w:val="none" w:sz="0" w:space="0" w:color="auto"/>
            <w:right w:val="none" w:sz="0" w:space="0" w:color="auto"/>
          </w:divBdr>
        </w:div>
        <w:div w:id="1927498067">
          <w:marLeft w:val="0"/>
          <w:marRight w:val="0"/>
          <w:marTop w:val="0"/>
          <w:marBottom w:val="0"/>
          <w:divBdr>
            <w:top w:val="none" w:sz="0" w:space="0" w:color="auto"/>
            <w:left w:val="none" w:sz="0" w:space="0" w:color="auto"/>
            <w:bottom w:val="none" w:sz="0" w:space="0" w:color="auto"/>
            <w:right w:val="none" w:sz="0" w:space="0" w:color="auto"/>
          </w:divBdr>
        </w:div>
        <w:div w:id="2020349971">
          <w:marLeft w:val="0"/>
          <w:marRight w:val="0"/>
          <w:marTop w:val="0"/>
          <w:marBottom w:val="0"/>
          <w:divBdr>
            <w:top w:val="none" w:sz="0" w:space="0" w:color="auto"/>
            <w:left w:val="none" w:sz="0" w:space="0" w:color="auto"/>
            <w:bottom w:val="none" w:sz="0" w:space="0" w:color="auto"/>
            <w:right w:val="none" w:sz="0" w:space="0" w:color="auto"/>
          </w:divBdr>
        </w:div>
      </w:divsChild>
    </w:div>
    <w:div w:id="451676688">
      <w:bodyDiv w:val="1"/>
      <w:marLeft w:val="0"/>
      <w:marRight w:val="0"/>
      <w:marTop w:val="0"/>
      <w:marBottom w:val="0"/>
      <w:divBdr>
        <w:top w:val="none" w:sz="0" w:space="0" w:color="auto"/>
        <w:left w:val="none" w:sz="0" w:space="0" w:color="auto"/>
        <w:bottom w:val="none" w:sz="0" w:space="0" w:color="auto"/>
        <w:right w:val="none" w:sz="0" w:space="0" w:color="auto"/>
      </w:divBdr>
    </w:div>
    <w:div w:id="661465763">
      <w:bodyDiv w:val="1"/>
      <w:marLeft w:val="0"/>
      <w:marRight w:val="0"/>
      <w:marTop w:val="0"/>
      <w:marBottom w:val="0"/>
      <w:divBdr>
        <w:top w:val="none" w:sz="0" w:space="0" w:color="auto"/>
        <w:left w:val="none" w:sz="0" w:space="0" w:color="auto"/>
        <w:bottom w:val="none" w:sz="0" w:space="0" w:color="auto"/>
        <w:right w:val="none" w:sz="0" w:space="0" w:color="auto"/>
      </w:divBdr>
    </w:div>
    <w:div w:id="689112721">
      <w:bodyDiv w:val="1"/>
      <w:marLeft w:val="0"/>
      <w:marRight w:val="0"/>
      <w:marTop w:val="0"/>
      <w:marBottom w:val="0"/>
      <w:divBdr>
        <w:top w:val="none" w:sz="0" w:space="0" w:color="auto"/>
        <w:left w:val="none" w:sz="0" w:space="0" w:color="auto"/>
        <w:bottom w:val="none" w:sz="0" w:space="0" w:color="auto"/>
        <w:right w:val="none" w:sz="0" w:space="0" w:color="auto"/>
      </w:divBdr>
    </w:div>
    <w:div w:id="752969838">
      <w:bodyDiv w:val="1"/>
      <w:marLeft w:val="0"/>
      <w:marRight w:val="0"/>
      <w:marTop w:val="0"/>
      <w:marBottom w:val="0"/>
      <w:divBdr>
        <w:top w:val="none" w:sz="0" w:space="0" w:color="auto"/>
        <w:left w:val="none" w:sz="0" w:space="0" w:color="auto"/>
        <w:bottom w:val="none" w:sz="0" w:space="0" w:color="auto"/>
        <w:right w:val="none" w:sz="0" w:space="0" w:color="auto"/>
      </w:divBdr>
    </w:div>
    <w:div w:id="778722864">
      <w:bodyDiv w:val="1"/>
      <w:marLeft w:val="0"/>
      <w:marRight w:val="0"/>
      <w:marTop w:val="0"/>
      <w:marBottom w:val="0"/>
      <w:divBdr>
        <w:top w:val="none" w:sz="0" w:space="0" w:color="auto"/>
        <w:left w:val="none" w:sz="0" w:space="0" w:color="auto"/>
        <w:bottom w:val="none" w:sz="0" w:space="0" w:color="auto"/>
        <w:right w:val="none" w:sz="0" w:space="0" w:color="auto"/>
      </w:divBdr>
    </w:div>
    <w:div w:id="878006224">
      <w:bodyDiv w:val="1"/>
      <w:marLeft w:val="0"/>
      <w:marRight w:val="0"/>
      <w:marTop w:val="0"/>
      <w:marBottom w:val="0"/>
      <w:divBdr>
        <w:top w:val="none" w:sz="0" w:space="0" w:color="auto"/>
        <w:left w:val="none" w:sz="0" w:space="0" w:color="auto"/>
        <w:bottom w:val="none" w:sz="0" w:space="0" w:color="auto"/>
        <w:right w:val="none" w:sz="0" w:space="0" w:color="auto"/>
      </w:divBdr>
    </w:div>
    <w:div w:id="1101531539">
      <w:bodyDiv w:val="1"/>
      <w:marLeft w:val="0"/>
      <w:marRight w:val="0"/>
      <w:marTop w:val="0"/>
      <w:marBottom w:val="0"/>
      <w:divBdr>
        <w:top w:val="none" w:sz="0" w:space="0" w:color="auto"/>
        <w:left w:val="none" w:sz="0" w:space="0" w:color="auto"/>
        <w:bottom w:val="none" w:sz="0" w:space="0" w:color="auto"/>
        <w:right w:val="none" w:sz="0" w:space="0" w:color="auto"/>
      </w:divBdr>
    </w:div>
    <w:div w:id="1186675305">
      <w:bodyDiv w:val="1"/>
      <w:marLeft w:val="0"/>
      <w:marRight w:val="0"/>
      <w:marTop w:val="0"/>
      <w:marBottom w:val="0"/>
      <w:divBdr>
        <w:top w:val="none" w:sz="0" w:space="0" w:color="auto"/>
        <w:left w:val="none" w:sz="0" w:space="0" w:color="auto"/>
        <w:bottom w:val="none" w:sz="0" w:space="0" w:color="auto"/>
        <w:right w:val="none" w:sz="0" w:space="0" w:color="auto"/>
      </w:divBdr>
    </w:div>
    <w:div w:id="1219517783">
      <w:bodyDiv w:val="1"/>
      <w:marLeft w:val="0"/>
      <w:marRight w:val="0"/>
      <w:marTop w:val="0"/>
      <w:marBottom w:val="0"/>
      <w:divBdr>
        <w:top w:val="none" w:sz="0" w:space="0" w:color="auto"/>
        <w:left w:val="none" w:sz="0" w:space="0" w:color="auto"/>
        <w:bottom w:val="none" w:sz="0" w:space="0" w:color="auto"/>
        <w:right w:val="none" w:sz="0" w:space="0" w:color="auto"/>
      </w:divBdr>
    </w:div>
    <w:div w:id="1384720222">
      <w:bodyDiv w:val="1"/>
      <w:marLeft w:val="0"/>
      <w:marRight w:val="0"/>
      <w:marTop w:val="0"/>
      <w:marBottom w:val="0"/>
      <w:divBdr>
        <w:top w:val="none" w:sz="0" w:space="0" w:color="auto"/>
        <w:left w:val="none" w:sz="0" w:space="0" w:color="auto"/>
        <w:bottom w:val="none" w:sz="0" w:space="0" w:color="auto"/>
        <w:right w:val="none" w:sz="0" w:space="0" w:color="auto"/>
      </w:divBdr>
    </w:div>
    <w:div w:id="1409765024">
      <w:bodyDiv w:val="1"/>
      <w:marLeft w:val="0"/>
      <w:marRight w:val="0"/>
      <w:marTop w:val="0"/>
      <w:marBottom w:val="0"/>
      <w:divBdr>
        <w:top w:val="none" w:sz="0" w:space="0" w:color="auto"/>
        <w:left w:val="none" w:sz="0" w:space="0" w:color="auto"/>
        <w:bottom w:val="none" w:sz="0" w:space="0" w:color="auto"/>
        <w:right w:val="none" w:sz="0" w:space="0" w:color="auto"/>
      </w:divBdr>
    </w:div>
    <w:div w:id="1421871690">
      <w:bodyDiv w:val="1"/>
      <w:marLeft w:val="0"/>
      <w:marRight w:val="0"/>
      <w:marTop w:val="0"/>
      <w:marBottom w:val="0"/>
      <w:divBdr>
        <w:top w:val="none" w:sz="0" w:space="0" w:color="auto"/>
        <w:left w:val="none" w:sz="0" w:space="0" w:color="auto"/>
        <w:bottom w:val="none" w:sz="0" w:space="0" w:color="auto"/>
        <w:right w:val="none" w:sz="0" w:space="0" w:color="auto"/>
      </w:divBdr>
    </w:div>
    <w:div w:id="1488743867">
      <w:bodyDiv w:val="1"/>
      <w:marLeft w:val="0"/>
      <w:marRight w:val="0"/>
      <w:marTop w:val="0"/>
      <w:marBottom w:val="0"/>
      <w:divBdr>
        <w:top w:val="none" w:sz="0" w:space="0" w:color="auto"/>
        <w:left w:val="none" w:sz="0" w:space="0" w:color="auto"/>
        <w:bottom w:val="none" w:sz="0" w:space="0" w:color="auto"/>
        <w:right w:val="none" w:sz="0" w:space="0" w:color="auto"/>
      </w:divBdr>
    </w:div>
    <w:div w:id="1738088701">
      <w:bodyDiv w:val="1"/>
      <w:marLeft w:val="0"/>
      <w:marRight w:val="0"/>
      <w:marTop w:val="0"/>
      <w:marBottom w:val="0"/>
      <w:divBdr>
        <w:top w:val="none" w:sz="0" w:space="0" w:color="auto"/>
        <w:left w:val="none" w:sz="0" w:space="0" w:color="auto"/>
        <w:bottom w:val="none" w:sz="0" w:space="0" w:color="auto"/>
        <w:right w:val="none" w:sz="0" w:space="0" w:color="auto"/>
      </w:divBdr>
    </w:div>
    <w:div w:id="1765566870">
      <w:bodyDiv w:val="1"/>
      <w:marLeft w:val="0"/>
      <w:marRight w:val="0"/>
      <w:marTop w:val="0"/>
      <w:marBottom w:val="0"/>
      <w:divBdr>
        <w:top w:val="none" w:sz="0" w:space="0" w:color="auto"/>
        <w:left w:val="none" w:sz="0" w:space="0" w:color="auto"/>
        <w:bottom w:val="none" w:sz="0" w:space="0" w:color="auto"/>
        <w:right w:val="none" w:sz="0" w:space="0" w:color="auto"/>
      </w:divBdr>
    </w:div>
    <w:div w:id="1819686221">
      <w:bodyDiv w:val="1"/>
      <w:marLeft w:val="0"/>
      <w:marRight w:val="0"/>
      <w:marTop w:val="0"/>
      <w:marBottom w:val="0"/>
      <w:divBdr>
        <w:top w:val="none" w:sz="0" w:space="0" w:color="auto"/>
        <w:left w:val="none" w:sz="0" w:space="0" w:color="auto"/>
        <w:bottom w:val="none" w:sz="0" w:space="0" w:color="auto"/>
        <w:right w:val="none" w:sz="0" w:space="0" w:color="auto"/>
      </w:divBdr>
    </w:div>
    <w:div w:id="1823228877">
      <w:bodyDiv w:val="1"/>
      <w:marLeft w:val="0"/>
      <w:marRight w:val="0"/>
      <w:marTop w:val="0"/>
      <w:marBottom w:val="0"/>
      <w:divBdr>
        <w:top w:val="none" w:sz="0" w:space="0" w:color="auto"/>
        <w:left w:val="none" w:sz="0" w:space="0" w:color="auto"/>
        <w:bottom w:val="none" w:sz="0" w:space="0" w:color="auto"/>
        <w:right w:val="none" w:sz="0" w:space="0" w:color="auto"/>
      </w:divBdr>
    </w:div>
    <w:div w:id="1956516364">
      <w:bodyDiv w:val="1"/>
      <w:marLeft w:val="0"/>
      <w:marRight w:val="0"/>
      <w:marTop w:val="0"/>
      <w:marBottom w:val="0"/>
      <w:divBdr>
        <w:top w:val="none" w:sz="0" w:space="0" w:color="auto"/>
        <w:left w:val="none" w:sz="0" w:space="0" w:color="auto"/>
        <w:bottom w:val="none" w:sz="0" w:space="0" w:color="auto"/>
        <w:right w:val="none" w:sz="0" w:space="0" w:color="auto"/>
      </w:divBdr>
    </w:div>
    <w:div w:id="1988053159">
      <w:bodyDiv w:val="1"/>
      <w:marLeft w:val="0"/>
      <w:marRight w:val="0"/>
      <w:marTop w:val="0"/>
      <w:marBottom w:val="0"/>
      <w:divBdr>
        <w:top w:val="none" w:sz="0" w:space="0" w:color="auto"/>
        <w:left w:val="none" w:sz="0" w:space="0" w:color="auto"/>
        <w:bottom w:val="none" w:sz="0" w:space="0" w:color="auto"/>
        <w:right w:val="none" w:sz="0" w:space="0" w:color="auto"/>
      </w:divBdr>
    </w:div>
    <w:div w:id="2087653577">
      <w:bodyDiv w:val="1"/>
      <w:marLeft w:val="0"/>
      <w:marRight w:val="0"/>
      <w:marTop w:val="0"/>
      <w:marBottom w:val="0"/>
      <w:divBdr>
        <w:top w:val="none" w:sz="0" w:space="0" w:color="auto"/>
        <w:left w:val="none" w:sz="0" w:space="0" w:color="auto"/>
        <w:bottom w:val="none" w:sz="0" w:space="0" w:color="auto"/>
        <w:right w:val="none" w:sz="0" w:space="0" w:color="auto"/>
      </w:divBdr>
    </w:div>
    <w:div w:id="2099860553">
      <w:bodyDiv w:val="1"/>
      <w:marLeft w:val="0"/>
      <w:marRight w:val="0"/>
      <w:marTop w:val="0"/>
      <w:marBottom w:val="0"/>
      <w:divBdr>
        <w:top w:val="none" w:sz="0" w:space="0" w:color="auto"/>
        <w:left w:val="none" w:sz="0" w:space="0" w:color="auto"/>
        <w:bottom w:val="none" w:sz="0" w:space="0" w:color="auto"/>
        <w:right w:val="none" w:sz="0" w:space="0" w:color="auto"/>
      </w:divBdr>
    </w:div>
    <w:div w:id="211694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f.senate.ca.gov/hearing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ran.senate.ca.gov/content/oversightinfo-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EAFF1-4689-4F51-9F5E-CDB3C484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Anton.Favorini-Csorba@sen.ca.gov</dc:creator>
  <cp:lastModifiedBy>Anton Favorini-Csorba</cp:lastModifiedBy>
  <cp:revision>7</cp:revision>
  <cp:lastPrinted>2018-01-08T23:49:00Z</cp:lastPrinted>
  <dcterms:created xsi:type="dcterms:W3CDTF">2018-11-07T22:02:00Z</dcterms:created>
  <dcterms:modified xsi:type="dcterms:W3CDTF">2018-11-14T22:57:00Z</dcterms:modified>
</cp:coreProperties>
</file>